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114054" w14:textId="2C2F42E2" w:rsidR="000972FD" w:rsidRPr="000972FD" w:rsidRDefault="000972FD" w:rsidP="000972FD">
      <w:pPr>
        <w:spacing w:before="100" w:beforeAutospacing="1" w:after="100" w:afterAutospacing="1" w:line="240" w:lineRule="auto"/>
        <w:outlineLvl w:val="0"/>
        <w:rPr>
          <w:rFonts w:ascii="Times New Roman" w:eastAsia="Times New Roman" w:hAnsi="Times New Roman" w:cs="Times New Roman"/>
          <w:b/>
          <w:bCs/>
          <w:kern w:val="36"/>
          <w:sz w:val="28"/>
          <w:szCs w:val="28"/>
          <w:lang w:eastAsia="en-GB"/>
          <w14:ligatures w14:val="none"/>
        </w:rPr>
      </w:pPr>
      <w:r w:rsidRPr="000972FD">
        <w:rPr>
          <w:rFonts w:ascii="Times New Roman" w:eastAsia="Times New Roman" w:hAnsi="Times New Roman" w:cs="Times New Roman"/>
          <w:b/>
          <w:bCs/>
          <w:kern w:val="36"/>
          <w:sz w:val="28"/>
          <w:szCs w:val="28"/>
          <w:lang w:eastAsia="en-GB"/>
          <w14:ligatures w14:val="none"/>
        </w:rPr>
        <w:t xml:space="preserve">AIPE </w:t>
      </w:r>
      <w:r w:rsidRPr="000972FD">
        <w:rPr>
          <w:rFonts w:ascii="Times New Roman" w:eastAsia="Times New Roman" w:hAnsi="Times New Roman" w:cs="Times New Roman"/>
          <w:b/>
          <w:bCs/>
          <w:kern w:val="36"/>
          <w:sz w:val="28"/>
          <w:szCs w:val="28"/>
          <w:lang w:eastAsia="en-GB"/>
          <w14:ligatures w14:val="none"/>
        </w:rPr>
        <w:t>Submission from AIPE to IBBI</w:t>
      </w:r>
    </w:p>
    <w:p w14:paraId="25DDBC7F" w14:textId="7DE22B7B" w:rsidR="000972FD" w:rsidRPr="000972FD" w:rsidRDefault="000972FD" w:rsidP="000972FD">
      <w:p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In response to the IBBI Discussion Paper dated 17 November 2025</w:t>
      </w:r>
      <w:r>
        <w:rPr>
          <w:rFonts w:ascii="Times New Roman" w:eastAsia="Times New Roman" w:hAnsi="Times New Roman" w:cs="Times New Roman"/>
          <w:kern w:val="0"/>
          <w:lang w:eastAsia="en-GB"/>
          <w14:ligatures w14:val="none"/>
        </w:rPr>
        <w:t xml:space="preserve"> </w:t>
      </w:r>
      <w:r w:rsidRPr="000972FD">
        <w:rPr>
          <w:rFonts w:ascii="Times New Roman" w:eastAsia="Times New Roman" w:hAnsi="Times New Roman" w:cs="Times New Roman"/>
          <w:kern w:val="0"/>
          <w:lang w:eastAsia="en-GB"/>
          <w14:ligatures w14:val="none"/>
        </w:rPr>
        <w:t>“Empowering Director/Partner in an IPE by Prescribing Minimum Shareholding/Capital Contribution”</w:t>
      </w:r>
    </w:p>
    <w:p w14:paraId="46950FDB" w14:textId="77777777" w:rsidR="000972FD" w:rsidRPr="000972FD" w:rsidRDefault="000972FD" w:rsidP="000972FD">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0972FD">
        <w:rPr>
          <w:rFonts w:ascii="Times New Roman" w:eastAsia="Times New Roman" w:hAnsi="Times New Roman" w:cs="Times New Roman"/>
          <w:b/>
          <w:bCs/>
          <w:kern w:val="0"/>
          <w:sz w:val="27"/>
          <w:szCs w:val="27"/>
          <w:lang w:eastAsia="en-GB"/>
          <w14:ligatures w14:val="none"/>
        </w:rPr>
        <w:t>Submitted by:</w:t>
      </w:r>
    </w:p>
    <w:p w14:paraId="68DAF01D" w14:textId="6A3422E1" w:rsidR="000972FD" w:rsidRPr="000972FD" w:rsidRDefault="000972FD" w:rsidP="000972FD">
      <w:p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b/>
          <w:bCs/>
          <w:kern w:val="0"/>
          <w:lang w:eastAsia="en-GB"/>
          <w14:ligatures w14:val="none"/>
        </w:rPr>
        <w:t>Association of Insolvency Professional Entities (AIPE)</w:t>
      </w:r>
      <w:r w:rsidRPr="000972FD">
        <w:rPr>
          <w:rFonts w:ascii="Times New Roman" w:eastAsia="Times New Roman" w:hAnsi="Times New Roman" w:cs="Times New Roman"/>
          <w:kern w:val="0"/>
          <w:lang w:eastAsia="en-GB"/>
          <w14:ligatures w14:val="none"/>
        </w:rPr>
        <w:br/>
      </w:r>
      <w:r w:rsidRPr="000972FD">
        <w:rPr>
          <w:rFonts w:ascii="Times New Roman" w:eastAsia="Times New Roman" w:hAnsi="Times New Roman" w:cs="Times New Roman"/>
          <w:noProof/>
          <w:kern w:val="0"/>
          <w:lang w:eastAsia="en-GB"/>
          <w14:ligatures w14:val="none"/>
        </w:rPr>
      </w:r>
      <w:r w:rsidR="000972FD" w:rsidRPr="000972FD">
        <w:rPr>
          <w:rFonts w:ascii="Times New Roman" w:eastAsia="Times New Roman" w:hAnsi="Times New Roman" w:cs="Times New Roman"/>
          <w:noProof/>
          <w:kern w:val="0"/>
          <w:lang w:eastAsia="en-GB"/>
          <w14:ligatures w14:val="none"/>
        </w:rPr>
        <w:pict w14:anchorId="56D851CF">
          <v:rect id="_x0000_i1026" alt="" style="width:451.3pt;height:.05pt;mso-width-percent:0;mso-height-percent:0;mso-width-percent:0;mso-height-percent:0" o:hralign="center" o:hrstd="t" o:hr="t" fillcolor="#a0a0a0" stroked="f"/>
        </w:pict>
      </w:r>
    </w:p>
    <w:p w14:paraId="323A7FF9" w14:textId="77777777" w:rsidR="000972FD" w:rsidRPr="000972FD" w:rsidRDefault="000972FD" w:rsidP="000972FD">
      <w:pPr>
        <w:spacing w:before="100" w:beforeAutospacing="1" w:after="100" w:afterAutospacing="1" w:line="240" w:lineRule="auto"/>
        <w:outlineLvl w:val="1"/>
        <w:rPr>
          <w:rFonts w:ascii="Times New Roman" w:eastAsia="Times New Roman" w:hAnsi="Times New Roman" w:cs="Times New Roman"/>
          <w:b/>
          <w:bCs/>
          <w:kern w:val="0"/>
          <w:sz w:val="28"/>
          <w:szCs w:val="28"/>
          <w:lang w:eastAsia="en-GB"/>
          <w14:ligatures w14:val="none"/>
        </w:rPr>
      </w:pPr>
      <w:r w:rsidRPr="000972FD">
        <w:rPr>
          <w:rFonts w:ascii="Times New Roman" w:eastAsia="Times New Roman" w:hAnsi="Times New Roman" w:cs="Times New Roman"/>
          <w:b/>
          <w:bCs/>
          <w:kern w:val="0"/>
          <w:sz w:val="28"/>
          <w:szCs w:val="28"/>
          <w:lang w:eastAsia="en-GB"/>
          <w14:ligatures w14:val="none"/>
        </w:rPr>
        <w:t>I. Introductory Statement</w:t>
      </w:r>
    </w:p>
    <w:p w14:paraId="094C3B77" w14:textId="77777777" w:rsidR="000972FD" w:rsidRPr="000972FD" w:rsidRDefault="000972FD" w:rsidP="000972FD">
      <w:p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AIPE welcomes the initiative of the Insolvency and Bankruptcy Board of India (“IBBI”) in strengthening the governance architecture of Insolvency Professional Entities (IPEs). We recognise the regulatory concerns highlighted in the Discussion Paper—particularly ownership concentration, nominal partners, and weak alignment between professional responsibility and equity participation.</w:t>
      </w:r>
    </w:p>
    <w:p w14:paraId="4C920D0F" w14:textId="77777777" w:rsidR="000972FD" w:rsidRPr="000972FD" w:rsidRDefault="000972FD" w:rsidP="000972FD">
      <w:p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 xml:space="preserve">To formulate this response, AIPE conducted a </w:t>
      </w:r>
      <w:r w:rsidRPr="000972FD">
        <w:rPr>
          <w:rFonts w:ascii="Times New Roman" w:eastAsia="Times New Roman" w:hAnsi="Times New Roman" w:cs="Times New Roman"/>
          <w:b/>
          <w:bCs/>
          <w:kern w:val="0"/>
          <w:lang w:eastAsia="en-GB"/>
          <w14:ligatures w14:val="none"/>
        </w:rPr>
        <w:t>Roundtable Discussion on 1 December 2025 at Hotel Aurika</w:t>
      </w:r>
      <w:r w:rsidRPr="000972FD">
        <w:rPr>
          <w:rFonts w:ascii="Times New Roman" w:eastAsia="Times New Roman" w:hAnsi="Times New Roman" w:cs="Times New Roman"/>
          <w:kern w:val="0"/>
          <w:lang w:eastAsia="en-GB"/>
          <w14:ligatures w14:val="none"/>
        </w:rPr>
        <w:t xml:space="preserve">, attended by diverse IPEs and senior partners. The discussion highlights have been captured in the </w:t>
      </w:r>
      <w:r w:rsidRPr="000972FD">
        <w:rPr>
          <w:rFonts w:ascii="Times New Roman" w:eastAsia="Times New Roman" w:hAnsi="Times New Roman" w:cs="Times New Roman"/>
          <w:b/>
          <w:bCs/>
          <w:kern w:val="0"/>
          <w:lang w:eastAsia="en-GB"/>
          <w14:ligatures w14:val="none"/>
        </w:rPr>
        <w:t>Meeting Notes</w:t>
      </w:r>
      <w:r w:rsidRPr="000972FD">
        <w:rPr>
          <w:rFonts w:ascii="Times New Roman" w:eastAsia="Times New Roman" w:hAnsi="Times New Roman" w:cs="Times New Roman"/>
          <w:kern w:val="0"/>
          <w:lang w:eastAsia="en-GB"/>
          <w14:ligatures w14:val="none"/>
        </w:rPr>
        <w:t xml:space="preserve">, </w:t>
      </w:r>
      <w:r w:rsidRPr="000972FD">
        <w:rPr>
          <w:rFonts w:ascii="Times New Roman" w:eastAsia="Times New Roman" w:hAnsi="Times New Roman" w:cs="Times New Roman"/>
          <w:b/>
          <w:bCs/>
          <w:kern w:val="0"/>
          <w:lang w:eastAsia="en-GB"/>
          <w14:ligatures w14:val="none"/>
        </w:rPr>
        <w:t>Analysis Document</w:t>
      </w:r>
      <w:r w:rsidRPr="000972FD">
        <w:rPr>
          <w:rFonts w:ascii="Times New Roman" w:eastAsia="Times New Roman" w:hAnsi="Times New Roman" w:cs="Times New Roman"/>
          <w:kern w:val="0"/>
          <w:lang w:eastAsia="en-GB"/>
          <w14:ligatures w14:val="none"/>
        </w:rPr>
        <w:t xml:space="preserve">, and </w:t>
      </w:r>
      <w:r w:rsidRPr="000972FD">
        <w:rPr>
          <w:rFonts w:ascii="Times New Roman" w:eastAsia="Times New Roman" w:hAnsi="Times New Roman" w:cs="Times New Roman"/>
          <w:b/>
          <w:bCs/>
          <w:kern w:val="0"/>
          <w:lang w:eastAsia="en-GB"/>
          <w14:ligatures w14:val="none"/>
        </w:rPr>
        <w:t>Minutes of Meeting</w:t>
      </w:r>
      <w:r w:rsidRPr="000972FD">
        <w:rPr>
          <w:rFonts w:ascii="Times New Roman" w:eastAsia="Times New Roman" w:hAnsi="Times New Roman" w:cs="Times New Roman"/>
          <w:kern w:val="0"/>
          <w:lang w:eastAsia="en-GB"/>
          <w14:ligatures w14:val="none"/>
        </w:rPr>
        <w:t>, which form the empirical basis of this submission.</w:t>
      </w:r>
    </w:p>
    <w:p w14:paraId="1A0BE792" w14:textId="77777777" w:rsidR="000972FD" w:rsidRPr="000972FD" w:rsidRDefault="000972FD" w:rsidP="000972FD">
      <w:p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 xml:space="preserve">AIPE fully supports the Board’s overarching objective but submits that </w:t>
      </w:r>
      <w:r w:rsidRPr="000972FD">
        <w:rPr>
          <w:rFonts w:ascii="Times New Roman" w:eastAsia="Times New Roman" w:hAnsi="Times New Roman" w:cs="Times New Roman"/>
          <w:b/>
          <w:bCs/>
          <w:kern w:val="0"/>
          <w:lang w:eastAsia="en-GB"/>
          <w14:ligatures w14:val="none"/>
        </w:rPr>
        <w:t>capital contribution alone cannot solve governance deficiencies</w:t>
      </w:r>
      <w:r w:rsidRPr="000972FD">
        <w:rPr>
          <w:rFonts w:ascii="Times New Roman" w:eastAsia="Times New Roman" w:hAnsi="Times New Roman" w:cs="Times New Roman"/>
          <w:kern w:val="0"/>
          <w:lang w:eastAsia="en-GB"/>
          <w14:ligatures w14:val="none"/>
        </w:rPr>
        <w:t>. A more nuanced, scalable and governance-backed framework is crucial.</w:t>
      </w:r>
    </w:p>
    <w:p w14:paraId="30B0C3ED" w14:textId="77777777" w:rsidR="000972FD" w:rsidRPr="000972FD" w:rsidRDefault="000972FD" w:rsidP="000972FD">
      <w:pPr>
        <w:spacing w:before="100" w:beforeAutospacing="1" w:after="100" w:afterAutospacing="1" w:line="240" w:lineRule="auto"/>
        <w:outlineLvl w:val="1"/>
        <w:rPr>
          <w:rFonts w:ascii="Times New Roman" w:eastAsia="Times New Roman" w:hAnsi="Times New Roman" w:cs="Times New Roman"/>
          <w:b/>
          <w:bCs/>
          <w:kern w:val="0"/>
          <w:sz w:val="28"/>
          <w:szCs w:val="28"/>
          <w:lang w:eastAsia="en-GB"/>
          <w14:ligatures w14:val="none"/>
        </w:rPr>
      </w:pPr>
      <w:r w:rsidRPr="000972FD">
        <w:rPr>
          <w:rFonts w:ascii="Times New Roman" w:eastAsia="Times New Roman" w:hAnsi="Times New Roman" w:cs="Times New Roman"/>
          <w:b/>
          <w:bCs/>
          <w:kern w:val="0"/>
          <w:sz w:val="28"/>
          <w:szCs w:val="28"/>
          <w:lang w:eastAsia="en-GB"/>
          <w14:ligatures w14:val="none"/>
        </w:rPr>
        <w:t>II. Relationship Between Discussion Paper Proposals &amp; Issues Identified by Members</w:t>
      </w:r>
    </w:p>
    <w:p w14:paraId="085920A3" w14:textId="0BBCA542" w:rsidR="000972FD" w:rsidRPr="000972FD" w:rsidRDefault="000972FD" w:rsidP="000972FD">
      <w:pPr>
        <w:spacing w:before="100" w:beforeAutospacing="1" w:after="100" w:afterAutospacing="1" w:line="240" w:lineRule="auto"/>
        <w:jc w:val="both"/>
        <w:outlineLvl w:val="2"/>
        <w:rPr>
          <w:rFonts w:ascii="Times New Roman" w:eastAsia="Times New Roman" w:hAnsi="Times New Roman" w:cs="Times New Roman"/>
          <w:b/>
          <w:bCs/>
          <w:kern w:val="0"/>
          <w:lang w:eastAsia="en-GB"/>
          <w14:ligatures w14:val="none"/>
        </w:rPr>
      </w:pPr>
      <w:r w:rsidRPr="000972FD">
        <w:rPr>
          <w:rFonts w:ascii="Times New Roman" w:eastAsia="Times New Roman" w:hAnsi="Times New Roman" w:cs="Times New Roman"/>
          <w:b/>
          <w:bCs/>
          <w:kern w:val="0"/>
          <w:lang w:eastAsia="en-GB"/>
          <w14:ligatures w14:val="none"/>
        </w:rPr>
        <w:t>1. IBBI Proposal: Minimum 5% Shareholding/Capital Contribution per Director/</w:t>
      </w:r>
      <w:r>
        <w:rPr>
          <w:rFonts w:ascii="Times New Roman" w:eastAsia="Times New Roman" w:hAnsi="Times New Roman" w:cs="Times New Roman"/>
          <w:b/>
          <w:bCs/>
          <w:kern w:val="0"/>
          <w:lang w:eastAsia="en-GB"/>
          <w14:ligatures w14:val="none"/>
        </w:rPr>
        <w:t xml:space="preserve"> </w:t>
      </w:r>
      <w:r w:rsidRPr="000972FD">
        <w:rPr>
          <w:rFonts w:ascii="Times New Roman" w:eastAsia="Times New Roman" w:hAnsi="Times New Roman" w:cs="Times New Roman"/>
          <w:b/>
          <w:bCs/>
          <w:kern w:val="0"/>
          <w:lang w:eastAsia="en-GB"/>
          <w14:ligatures w14:val="none"/>
        </w:rPr>
        <w:t>Partner</w:t>
      </w:r>
    </w:p>
    <w:p w14:paraId="5E45AFE8" w14:textId="77777777" w:rsidR="000972FD" w:rsidRPr="000972FD" w:rsidRDefault="000972FD" w:rsidP="000972FD">
      <w:p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i/>
          <w:iCs/>
          <w:kern w:val="0"/>
          <w:lang w:eastAsia="en-GB"/>
          <w14:ligatures w14:val="none"/>
        </w:rPr>
        <w:t xml:space="preserve">Reference: Discussion Paper paras 7–9 </w:t>
      </w:r>
    </w:p>
    <w:p w14:paraId="327A34F1" w14:textId="77777777" w:rsidR="000972FD" w:rsidRPr="000972FD" w:rsidRDefault="000972FD" w:rsidP="000972FD">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0972FD">
        <w:rPr>
          <w:rFonts w:ascii="Times New Roman" w:eastAsia="Times New Roman" w:hAnsi="Times New Roman" w:cs="Times New Roman"/>
          <w:b/>
          <w:bCs/>
          <w:kern w:val="0"/>
          <w:lang w:eastAsia="en-GB"/>
          <w14:ligatures w14:val="none"/>
        </w:rPr>
        <w:t>AIPE’s Feedback (Based on Roundtable Inputs):</w:t>
      </w:r>
    </w:p>
    <w:p w14:paraId="154DDD57" w14:textId="77777777" w:rsidR="000972FD" w:rsidRPr="000972FD" w:rsidRDefault="000972FD" w:rsidP="000972FD">
      <w:pPr>
        <w:spacing w:before="100" w:beforeAutospacing="1" w:after="100" w:afterAutospacing="1" w:line="240" w:lineRule="auto"/>
        <w:outlineLvl w:val="3"/>
        <w:rPr>
          <w:rFonts w:ascii="Times New Roman" w:eastAsia="Times New Roman" w:hAnsi="Times New Roman" w:cs="Times New Roman"/>
          <w:b/>
          <w:bCs/>
          <w:kern w:val="0"/>
          <w:lang w:eastAsia="en-GB"/>
          <w14:ligatures w14:val="none"/>
        </w:rPr>
      </w:pPr>
      <w:r w:rsidRPr="000972FD">
        <w:rPr>
          <w:rFonts w:ascii="Times New Roman" w:eastAsia="Times New Roman" w:hAnsi="Times New Roman" w:cs="Times New Roman"/>
          <w:b/>
          <w:bCs/>
          <w:kern w:val="0"/>
          <w:lang w:eastAsia="en-GB"/>
          <w14:ligatures w14:val="none"/>
        </w:rPr>
        <w:t>A. Capital Contribution Alone Does Not Ensure Governance</w:t>
      </w:r>
    </w:p>
    <w:p w14:paraId="673119A3" w14:textId="681294A0" w:rsidR="000972FD" w:rsidRPr="000972FD" w:rsidRDefault="000972FD" w:rsidP="000972FD">
      <w:p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 xml:space="preserve">Participants unanimously emphasised that </w:t>
      </w:r>
      <w:r w:rsidRPr="000972FD">
        <w:rPr>
          <w:rFonts w:ascii="Times New Roman" w:eastAsia="Times New Roman" w:hAnsi="Times New Roman" w:cs="Times New Roman"/>
          <w:b/>
          <w:bCs/>
          <w:kern w:val="0"/>
          <w:lang w:eastAsia="en-GB"/>
          <w14:ligatures w14:val="none"/>
        </w:rPr>
        <w:t>the core issue is governance, not capital</w:t>
      </w:r>
      <w:r w:rsidRPr="000972FD">
        <w:rPr>
          <w:rFonts w:ascii="Times New Roman" w:eastAsia="Times New Roman" w:hAnsi="Times New Roman" w:cs="Times New Roman"/>
          <w:kern w:val="0"/>
          <w:lang w:eastAsia="en-GB"/>
          <w14:ligatures w14:val="none"/>
        </w:rPr>
        <w:t xml:space="preserve">. Many IPEs struggle because of </w:t>
      </w:r>
      <w:r w:rsidRPr="000972FD">
        <w:rPr>
          <w:rFonts w:ascii="Times New Roman" w:eastAsia="Times New Roman" w:hAnsi="Times New Roman" w:cs="Times New Roman"/>
          <w:i/>
          <w:iCs/>
          <w:kern w:val="0"/>
          <w:lang w:eastAsia="en-GB"/>
          <w14:ligatures w14:val="none"/>
        </w:rPr>
        <w:t>partial engagement</w:t>
      </w:r>
      <w:r w:rsidRPr="000972FD">
        <w:rPr>
          <w:rFonts w:ascii="Times New Roman" w:eastAsia="Times New Roman" w:hAnsi="Times New Roman" w:cs="Times New Roman"/>
          <w:kern w:val="0"/>
          <w:lang w:eastAsia="en-GB"/>
          <w14:ligatures w14:val="none"/>
        </w:rPr>
        <w:t xml:space="preserve">, </w:t>
      </w:r>
      <w:r w:rsidRPr="000972FD">
        <w:rPr>
          <w:rFonts w:ascii="Times New Roman" w:eastAsia="Times New Roman" w:hAnsi="Times New Roman" w:cs="Times New Roman"/>
          <w:i/>
          <w:iCs/>
          <w:kern w:val="0"/>
          <w:lang w:eastAsia="en-GB"/>
          <w14:ligatures w14:val="none"/>
        </w:rPr>
        <w:t>nominal partners</w:t>
      </w:r>
      <w:r w:rsidRPr="000972FD">
        <w:rPr>
          <w:rFonts w:ascii="Times New Roman" w:eastAsia="Times New Roman" w:hAnsi="Times New Roman" w:cs="Times New Roman"/>
          <w:kern w:val="0"/>
          <w:lang w:eastAsia="en-GB"/>
          <w14:ligatures w14:val="none"/>
        </w:rPr>
        <w:t xml:space="preserve">, and </w:t>
      </w:r>
      <w:r w:rsidRPr="000972FD">
        <w:rPr>
          <w:rFonts w:ascii="Times New Roman" w:eastAsia="Times New Roman" w:hAnsi="Times New Roman" w:cs="Times New Roman"/>
          <w:i/>
          <w:iCs/>
          <w:kern w:val="0"/>
          <w:lang w:eastAsia="en-GB"/>
          <w14:ligatures w14:val="none"/>
        </w:rPr>
        <w:t>lack of structured governance roles</w:t>
      </w:r>
      <w:r w:rsidRPr="000972FD">
        <w:rPr>
          <w:rFonts w:ascii="Times New Roman" w:eastAsia="Times New Roman" w:hAnsi="Times New Roman" w:cs="Times New Roman"/>
          <w:kern w:val="0"/>
          <w:lang w:eastAsia="en-GB"/>
          <w14:ligatures w14:val="none"/>
        </w:rPr>
        <w:t xml:space="preserve">, not because of low capital shares. </w:t>
      </w:r>
    </w:p>
    <w:p w14:paraId="61B1638C" w14:textId="4B45734E" w:rsidR="000972FD" w:rsidRPr="000972FD" w:rsidRDefault="000972FD" w:rsidP="000972FD">
      <w:p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 xml:space="preserve">Members noted that individuals with 5% shareholding can still enter side agreements, or maintain control disproportionate to ownership, especially in private companies—thus </w:t>
      </w:r>
      <w:r w:rsidRPr="000972FD">
        <w:rPr>
          <w:rFonts w:ascii="Times New Roman" w:eastAsia="Times New Roman" w:hAnsi="Times New Roman" w:cs="Times New Roman"/>
          <w:b/>
          <w:bCs/>
          <w:kern w:val="0"/>
          <w:lang w:eastAsia="en-GB"/>
          <w14:ligatures w14:val="none"/>
        </w:rPr>
        <w:t>capital is an unreliable proxy for actual influence or participation</w:t>
      </w:r>
      <w:r w:rsidRPr="000972FD">
        <w:rPr>
          <w:rFonts w:ascii="Times New Roman" w:eastAsia="Times New Roman" w:hAnsi="Times New Roman" w:cs="Times New Roman"/>
          <w:kern w:val="0"/>
          <w:lang w:eastAsia="en-GB"/>
          <w14:ligatures w14:val="none"/>
        </w:rPr>
        <w:t xml:space="preserve">. </w:t>
      </w:r>
    </w:p>
    <w:p w14:paraId="42DCA90C" w14:textId="77777777" w:rsidR="000972FD" w:rsidRDefault="000972FD" w:rsidP="000972FD">
      <w:p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b/>
          <w:bCs/>
          <w:kern w:val="0"/>
          <w:lang w:eastAsia="en-GB"/>
          <w14:ligatures w14:val="none"/>
        </w:rPr>
        <w:t>Recommendation:</w:t>
      </w:r>
      <w:r w:rsidRPr="000972FD">
        <w:rPr>
          <w:rFonts w:ascii="Times New Roman" w:eastAsia="Times New Roman" w:hAnsi="Times New Roman" w:cs="Times New Roman"/>
          <w:kern w:val="0"/>
          <w:lang w:eastAsia="en-GB"/>
          <w14:ligatures w14:val="none"/>
        </w:rPr>
        <w:br/>
      </w:r>
    </w:p>
    <w:p w14:paraId="6D44C9D3" w14:textId="37BC7363" w:rsidR="000972FD" w:rsidRPr="000972FD" w:rsidRDefault="000972FD" w:rsidP="000972FD">
      <w:p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lastRenderedPageBreak/>
        <w:t xml:space="preserve">Introduce a </w:t>
      </w:r>
      <w:r w:rsidRPr="000972FD">
        <w:rPr>
          <w:rFonts w:ascii="Times New Roman" w:eastAsia="Times New Roman" w:hAnsi="Times New Roman" w:cs="Times New Roman"/>
          <w:b/>
          <w:bCs/>
          <w:kern w:val="0"/>
          <w:lang w:eastAsia="en-GB"/>
          <w14:ligatures w14:val="none"/>
        </w:rPr>
        <w:t>Governance Framework for IPEs</w:t>
      </w:r>
      <w:r w:rsidRPr="000972FD">
        <w:rPr>
          <w:rFonts w:ascii="Times New Roman" w:eastAsia="Times New Roman" w:hAnsi="Times New Roman" w:cs="Times New Roman"/>
          <w:kern w:val="0"/>
          <w:lang w:eastAsia="en-GB"/>
          <w14:ligatures w14:val="none"/>
        </w:rPr>
        <w:t xml:space="preserve"> in parallel with capital norms:</w:t>
      </w:r>
      <w:r w:rsidRPr="000972FD">
        <w:rPr>
          <w:rFonts w:ascii="Times New Roman" w:eastAsia="Times New Roman" w:hAnsi="Times New Roman" w:cs="Times New Roman"/>
          <w:kern w:val="0"/>
          <w:lang w:eastAsia="en-GB"/>
          <w14:ligatures w14:val="none"/>
        </w:rPr>
        <w:br/>
        <w:t xml:space="preserve">– </w:t>
      </w:r>
      <w:r>
        <w:rPr>
          <w:rFonts w:ascii="Times New Roman" w:eastAsia="Times New Roman" w:hAnsi="Times New Roman" w:cs="Times New Roman"/>
          <w:kern w:val="0"/>
          <w:lang w:eastAsia="en-GB"/>
          <w14:ligatures w14:val="none"/>
        </w:rPr>
        <w:t xml:space="preserve">IPEs may have a </w:t>
      </w:r>
      <w:r w:rsidRPr="000972FD">
        <w:rPr>
          <w:rFonts w:ascii="Times New Roman" w:eastAsia="Times New Roman" w:hAnsi="Times New Roman" w:cs="Times New Roman"/>
          <w:kern w:val="0"/>
          <w:lang w:eastAsia="en-GB"/>
          <w14:ligatures w14:val="none"/>
        </w:rPr>
        <w:t>Compliance Officer;</w:t>
      </w:r>
      <w:r w:rsidRPr="000972FD">
        <w:rPr>
          <w:rFonts w:ascii="Times New Roman" w:eastAsia="Times New Roman" w:hAnsi="Times New Roman" w:cs="Times New Roman"/>
          <w:kern w:val="0"/>
          <w:lang w:eastAsia="en-GB"/>
          <w14:ligatures w14:val="none"/>
        </w:rPr>
        <w:br/>
        <w:t>– Role clarity for Working vs. Non-Working Partners;</w:t>
      </w:r>
      <w:r w:rsidRPr="000972FD">
        <w:rPr>
          <w:rFonts w:ascii="Times New Roman" w:eastAsia="Times New Roman" w:hAnsi="Times New Roman" w:cs="Times New Roman"/>
          <w:kern w:val="0"/>
          <w:lang w:eastAsia="en-GB"/>
          <w14:ligatures w14:val="none"/>
        </w:rPr>
        <w:br/>
        <w:t>– Periodic governance reporting;</w:t>
      </w:r>
      <w:r w:rsidRPr="000972FD">
        <w:rPr>
          <w:rFonts w:ascii="Times New Roman" w:eastAsia="Times New Roman" w:hAnsi="Times New Roman" w:cs="Times New Roman"/>
          <w:kern w:val="0"/>
          <w:lang w:eastAsia="en-GB"/>
          <w14:ligatures w14:val="none"/>
        </w:rPr>
        <w:br/>
        <w:t>– Restrictions on side/shareholder agreements that distort management control.</w:t>
      </w:r>
    </w:p>
    <w:p w14:paraId="1FE84C3A" w14:textId="77777777" w:rsidR="000972FD" w:rsidRPr="000972FD" w:rsidRDefault="000972FD" w:rsidP="000972FD">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0972FD">
        <w:rPr>
          <w:rFonts w:ascii="Times New Roman" w:eastAsia="Times New Roman" w:hAnsi="Times New Roman" w:cs="Times New Roman"/>
          <w:b/>
          <w:bCs/>
          <w:kern w:val="0"/>
          <w:lang w:eastAsia="en-GB"/>
          <w14:ligatures w14:val="none"/>
        </w:rPr>
        <w:t>2. IBBI Concern: Nominal “Rs. 100 Partners” Dilute Integrity of IPEs</w:t>
      </w:r>
    </w:p>
    <w:p w14:paraId="2DC118E7" w14:textId="77777777" w:rsidR="000972FD" w:rsidRPr="000972FD" w:rsidRDefault="000972FD" w:rsidP="000972FD">
      <w:p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i/>
          <w:iCs/>
          <w:kern w:val="0"/>
          <w:lang w:eastAsia="en-GB"/>
          <w14:ligatures w14:val="none"/>
        </w:rPr>
        <w:t xml:space="preserve">Reference: Discussion Paper para 6(b) </w:t>
      </w:r>
    </w:p>
    <w:p w14:paraId="63E51980" w14:textId="77777777" w:rsidR="000972FD" w:rsidRPr="000972FD" w:rsidRDefault="000972FD" w:rsidP="000972FD">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0972FD">
        <w:rPr>
          <w:rFonts w:ascii="Times New Roman" w:eastAsia="Times New Roman" w:hAnsi="Times New Roman" w:cs="Times New Roman"/>
          <w:b/>
          <w:bCs/>
          <w:kern w:val="0"/>
          <w:lang w:eastAsia="en-GB"/>
          <w14:ligatures w14:val="none"/>
        </w:rPr>
        <w:t>AIPE’s Feedback:</w:t>
      </w:r>
    </w:p>
    <w:p w14:paraId="75166CAA" w14:textId="22C64AA2" w:rsidR="000972FD" w:rsidRPr="000972FD" w:rsidRDefault="000972FD" w:rsidP="000972FD">
      <w:p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 xml:space="preserve">Members </w:t>
      </w:r>
      <w:r w:rsidRPr="000972FD">
        <w:rPr>
          <w:rFonts w:ascii="Times New Roman" w:eastAsia="Times New Roman" w:hAnsi="Times New Roman" w:cs="Times New Roman"/>
          <w:b/>
          <w:bCs/>
          <w:kern w:val="0"/>
          <w:lang w:eastAsia="en-GB"/>
          <w14:ligatures w14:val="none"/>
        </w:rPr>
        <w:t>fully agreed</w:t>
      </w:r>
      <w:r w:rsidRPr="000972FD">
        <w:rPr>
          <w:rFonts w:ascii="Times New Roman" w:eastAsia="Times New Roman" w:hAnsi="Times New Roman" w:cs="Times New Roman"/>
          <w:kern w:val="0"/>
          <w:lang w:eastAsia="en-GB"/>
          <w14:ligatures w14:val="none"/>
        </w:rPr>
        <w:t xml:space="preserve"> with the </w:t>
      </w:r>
      <w:r>
        <w:rPr>
          <w:rFonts w:ascii="Times New Roman" w:eastAsia="Times New Roman" w:hAnsi="Times New Roman" w:cs="Times New Roman"/>
          <w:kern w:val="0"/>
          <w:lang w:eastAsia="en-GB"/>
          <w14:ligatures w14:val="none"/>
        </w:rPr>
        <w:t>IBBI</w:t>
      </w:r>
      <w:r w:rsidRPr="000972FD">
        <w:rPr>
          <w:rFonts w:ascii="Times New Roman" w:eastAsia="Times New Roman" w:hAnsi="Times New Roman" w:cs="Times New Roman"/>
          <w:kern w:val="0"/>
          <w:lang w:eastAsia="en-GB"/>
          <w14:ligatures w14:val="none"/>
        </w:rPr>
        <w:t xml:space="preserve">’s concern. Many IPEs have nominal partners who contribute little but are included for geographic or numeric optics. This practice compromises the principle of </w:t>
      </w:r>
      <w:r w:rsidRPr="000972FD">
        <w:rPr>
          <w:rFonts w:ascii="Times New Roman" w:eastAsia="Times New Roman" w:hAnsi="Times New Roman" w:cs="Times New Roman"/>
          <w:i/>
          <w:iCs/>
          <w:kern w:val="0"/>
          <w:lang w:eastAsia="en-GB"/>
          <w14:ligatures w14:val="none"/>
        </w:rPr>
        <w:t>true professional ownership</w:t>
      </w:r>
      <w:r w:rsidRPr="000972FD">
        <w:rPr>
          <w:rFonts w:ascii="Times New Roman" w:eastAsia="Times New Roman" w:hAnsi="Times New Roman" w:cs="Times New Roman"/>
          <w:kern w:val="0"/>
          <w:lang w:eastAsia="en-GB"/>
          <w14:ligatures w14:val="none"/>
        </w:rPr>
        <w:t>.</w:t>
      </w:r>
    </w:p>
    <w:p w14:paraId="7853AE2A" w14:textId="77777777" w:rsidR="000972FD" w:rsidRPr="000972FD" w:rsidRDefault="000972FD" w:rsidP="000972FD">
      <w:p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b/>
          <w:bCs/>
          <w:kern w:val="0"/>
          <w:lang w:eastAsia="en-GB"/>
          <w14:ligatures w14:val="none"/>
        </w:rPr>
        <w:t>AIPE supports the elimination of nominal partners</w:t>
      </w:r>
      <w:r w:rsidRPr="000972FD">
        <w:rPr>
          <w:rFonts w:ascii="Times New Roman" w:eastAsia="Times New Roman" w:hAnsi="Times New Roman" w:cs="Times New Roman"/>
          <w:kern w:val="0"/>
          <w:lang w:eastAsia="en-GB"/>
          <w14:ligatures w14:val="none"/>
        </w:rPr>
        <w:t xml:space="preserve"> through minimum contribution norms, but recommends </w:t>
      </w:r>
      <w:r w:rsidRPr="000972FD">
        <w:rPr>
          <w:rFonts w:ascii="Times New Roman" w:eastAsia="Times New Roman" w:hAnsi="Times New Roman" w:cs="Times New Roman"/>
          <w:b/>
          <w:bCs/>
          <w:kern w:val="0"/>
          <w:lang w:eastAsia="en-GB"/>
          <w14:ligatures w14:val="none"/>
        </w:rPr>
        <w:t>flexible, scalable thresholds</w:t>
      </w:r>
      <w:r w:rsidRPr="000972FD">
        <w:rPr>
          <w:rFonts w:ascii="Times New Roman" w:eastAsia="Times New Roman" w:hAnsi="Times New Roman" w:cs="Times New Roman"/>
          <w:kern w:val="0"/>
          <w:lang w:eastAsia="en-GB"/>
          <w14:ligatures w14:val="none"/>
        </w:rPr>
        <w:t xml:space="preserve"> to prevent barriers for new entrants.</w:t>
      </w:r>
    </w:p>
    <w:p w14:paraId="60D6E456" w14:textId="77777777" w:rsidR="000972FD" w:rsidRPr="000972FD" w:rsidRDefault="000972FD" w:rsidP="000972FD">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0972FD">
        <w:rPr>
          <w:rFonts w:ascii="Times New Roman" w:eastAsia="Times New Roman" w:hAnsi="Times New Roman" w:cs="Times New Roman"/>
          <w:b/>
          <w:bCs/>
          <w:kern w:val="0"/>
          <w:lang w:eastAsia="en-GB"/>
          <w14:ligatures w14:val="none"/>
        </w:rPr>
        <w:t>3. Issue Identified by IBBI: Ownership Concentration in a Few Hands</w:t>
      </w:r>
    </w:p>
    <w:p w14:paraId="2F02AE14" w14:textId="77777777" w:rsidR="000972FD" w:rsidRPr="000972FD" w:rsidRDefault="000972FD" w:rsidP="000972FD">
      <w:p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i/>
          <w:iCs/>
          <w:kern w:val="0"/>
          <w:lang w:eastAsia="en-GB"/>
          <w14:ligatures w14:val="none"/>
        </w:rPr>
        <w:t xml:space="preserve">Reference: Discussion Paper para 6(a) </w:t>
      </w:r>
    </w:p>
    <w:p w14:paraId="14DD1241" w14:textId="77777777" w:rsidR="000972FD" w:rsidRPr="000972FD" w:rsidRDefault="000972FD" w:rsidP="000972FD">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0972FD">
        <w:rPr>
          <w:rFonts w:ascii="Times New Roman" w:eastAsia="Times New Roman" w:hAnsi="Times New Roman" w:cs="Times New Roman"/>
          <w:b/>
          <w:bCs/>
          <w:kern w:val="0"/>
          <w:lang w:eastAsia="en-GB"/>
          <w14:ligatures w14:val="none"/>
        </w:rPr>
        <w:t>AIPE Feedback:</w:t>
      </w:r>
    </w:p>
    <w:p w14:paraId="4F3EB77B" w14:textId="6D84D848" w:rsidR="000972FD" w:rsidRPr="000972FD" w:rsidRDefault="000972FD" w:rsidP="000972FD">
      <w:p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 xml:space="preserve">Members observed that unregulated capital distribution can lead to dominance by founding partners or external investors—this aligns squarely with the regulator’s diagnosis. </w:t>
      </w:r>
      <w:r>
        <w:rPr>
          <w:rFonts w:ascii="Times New Roman" w:eastAsia="Times New Roman" w:hAnsi="Times New Roman" w:cs="Times New Roman"/>
          <w:kern w:val="0"/>
          <w:lang w:eastAsia="en-GB"/>
          <w14:ligatures w14:val="none"/>
        </w:rPr>
        <w:t xml:space="preserve"> </w:t>
      </w:r>
      <w:r w:rsidRPr="000972FD">
        <w:rPr>
          <w:rFonts w:ascii="Times New Roman" w:eastAsia="Times New Roman" w:hAnsi="Times New Roman" w:cs="Times New Roman"/>
          <w:kern w:val="0"/>
          <w:lang w:eastAsia="en-GB"/>
          <w14:ligatures w14:val="none"/>
        </w:rPr>
        <w:t xml:space="preserve">However, imposing a flat 5% may paradoxically </w:t>
      </w:r>
      <w:r w:rsidRPr="000972FD">
        <w:rPr>
          <w:rFonts w:ascii="Times New Roman" w:eastAsia="Times New Roman" w:hAnsi="Times New Roman" w:cs="Times New Roman"/>
          <w:b/>
          <w:bCs/>
          <w:kern w:val="0"/>
          <w:lang w:eastAsia="en-GB"/>
          <w14:ligatures w14:val="none"/>
        </w:rPr>
        <w:t>increase concentration</w:t>
      </w:r>
      <w:r w:rsidRPr="000972FD">
        <w:rPr>
          <w:rFonts w:ascii="Times New Roman" w:eastAsia="Times New Roman" w:hAnsi="Times New Roman" w:cs="Times New Roman"/>
          <w:kern w:val="0"/>
          <w:lang w:eastAsia="en-GB"/>
          <w14:ligatures w14:val="none"/>
        </w:rPr>
        <w:t>, because:</w:t>
      </w:r>
    </w:p>
    <w:p w14:paraId="3411C7A5" w14:textId="77777777" w:rsidR="000972FD" w:rsidRPr="000972FD" w:rsidRDefault="000972FD" w:rsidP="000972FD">
      <w:pPr>
        <w:numPr>
          <w:ilvl w:val="0"/>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New entrants may find 5% unaffordable due to high valuations.</w:t>
      </w:r>
    </w:p>
    <w:p w14:paraId="2924E3E1" w14:textId="77777777" w:rsidR="000972FD" w:rsidRPr="000972FD" w:rsidRDefault="000972FD" w:rsidP="000972FD">
      <w:pPr>
        <w:numPr>
          <w:ilvl w:val="0"/>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Existing dominant partners may resist dilution or capital restructuring.</w:t>
      </w:r>
    </w:p>
    <w:p w14:paraId="0746E78A" w14:textId="77777777" w:rsidR="000972FD" w:rsidRPr="000972FD" w:rsidRDefault="000972FD" w:rsidP="000972FD">
      <w:pPr>
        <w:numPr>
          <w:ilvl w:val="0"/>
          <w:numId w:val="1"/>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Young professionals may be blocked from entering the profession.</w:t>
      </w:r>
    </w:p>
    <w:p w14:paraId="510F234B" w14:textId="1C6A28E3" w:rsidR="000972FD" w:rsidRPr="000972FD" w:rsidRDefault="000972FD" w:rsidP="000972FD">
      <w:p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b/>
          <w:bCs/>
          <w:kern w:val="0"/>
          <w:lang w:eastAsia="en-GB"/>
          <w14:ligatures w14:val="none"/>
        </w:rPr>
        <w:t>Recommendation:</w:t>
      </w:r>
      <w:r w:rsidRPr="000972FD">
        <w:rPr>
          <w:rFonts w:ascii="Times New Roman" w:eastAsia="Times New Roman" w:hAnsi="Times New Roman" w:cs="Times New Roman"/>
          <w:kern w:val="0"/>
          <w:lang w:eastAsia="en-GB"/>
          <w14:ligatures w14:val="none"/>
        </w:rPr>
        <w:br/>
        <w:t xml:space="preserve">Introduce a </w:t>
      </w:r>
      <w:r w:rsidRPr="000972FD">
        <w:rPr>
          <w:rFonts w:ascii="Times New Roman" w:eastAsia="Times New Roman" w:hAnsi="Times New Roman" w:cs="Times New Roman"/>
          <w:b/>
          <w:bCs/>
          <w:kern w:val="0"/>
          <w:lang w:eastAsia="en-GB"/>
          <w14:ligatures w14:val="none"/>
        </w:rPr>
        <w:t>Scaled Capital Contribution Model</w:t>
      </w:r>
      <w:r w:rsidRPr="000972FD">
        <w:rPr>
          <w:rFonts w:ascii="Times New Roman" w:eastAsia="Times New Roman" w:hAnsi="Times New Roman" w:cs="Times New Roman"/>
          <w:kern w:val="0"/>
          <w:lang w:eastAsia="en-GB"/>
          <w14:ligatures w14:val="none"/>
        </w:rPr>
        <w:t xml:space="preserve"> with both % and fixed cash thresholds </w:t>
      </w:r>
    </w:p>
    <w:p w14:paraId="4CC9DD12" w14:textId="77777777" w:rsidR="000972FD" w:rsidRPr="000972FD" w:rsidRDefault="000972FD" w:rsidP="000972FD">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0972FD">
        <w:rPr>
          <w:rFonts w:ascii="Times New Roman" w:eastAsia="Times New Roman" w:hAnsi="Times New Roman" w:cs="Times New Roman"/>
          <w:b/>
          <w:bCs/>
          <w:kern w:val="0"/>
          <w:lang w:eastAsia="en-GB"/>
          <w14:ligatures w14:val="none"/>
        </w:rPr>
        <w:t>4. IBBI Observation: High Assignment Responsibility Lies with Partners Holding &lt;5%</w:t>
      </w:r>
    </w:p>
    <w:p w14:paraId="7732D9CC" w14:textId="77777777" w:rsidR="000972FD" w:rsidRPr="000972FD" w:rsidRDefault="000972FD" w:rsidP="000972FD">
      <w:p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i/>
          <w:iCs/>
          <w:kern w:val="0"/>
          <w:lang w:eastAsia="en-GB"/>
          <w14:ligatures w14:val="none"/>
        </w:rPr>
        <w:t xml:space="preserve">Reference: Discussion Paper para 6(b) </w:t>
      </w:r>
    </w:p>
    <w:p w14:paraId="74DA5447" w14:textId="77777777" w:rsidR="000972FD" w:rsidRPr="000972FD" w:rsidRDefault="000972FD" w:rsidP="000972FD">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0972FD">
        <w:rPr>
          <w:rFonts w:ascii="Times New Roman" w:eastAsia="Times New Roman" w:hAnsi="Times New Roman" w:cs="Times New Roman"/>
          <w:b/>
          <w:bCs/>
          <w:kern w:val="0"/>
          <w:sz w:val="27"/>
          <w:szCs w:val="27"/>
          <w:lang w:eastAsia="en-GB"/>
          <w14:ligatures w14:val="none"/>
        </w:rPr>
        <w:t>AIPE Feedback:</w:t>
      </w:r>
    </w:p>
    <w:p w14:paraId="0E6B8A68" w14:textId="3332AFC5" w:rsidR="000972FD" w:rsidRPr="000972FD" w:rsidRDefault="000972FD" w:rsidP="000972FD">
      <w:p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 xml:space="preserve">Roundtable participants confirmed this empirical finding: the most active and professionally engaged partners often hold minor equity. This mismatch occurs because entry into partnership depends on </w:t>
      </w:r>
      <w:r w:rsidRPr="000972FD">
        <w:rPr>
          <w:rFonts w:ascii="Times New Roman" w:eastAsia="Times New Roman" w:hAnsi="Times New Roman" w:cs="Times New Roman"/>
          <w:b/>
          <w:bCs/>
          <w:kern w:val="0"/>
          <w:lang w:eastAsia="en-GB"/>
          <w14:ligatures w14:val="none"/>
        </w:rPr>
        <w:t>valuation disputes</w:t>
      </w:r>
      <w:r w:rsidRPr="000972FD">
        <w:rPr>
          <w:rFonts w:ascii="Times New Roman" w:eastAsia="Times New Roman" w:hAnsi="Times New Roman" w:cs="Times New Roman"/>
          <w:kern w:val="0"/>
          <w:lang w:eastAsia="en-GB"/>
          <w14:ligatures w14:val="none"/>
        </w:rPr>
        <w:t xml:space="preserve">, </w:t>
      </w:r>
      <w:r w:rsidRPr="000972FD">
        <w:rPr>
          <w:rFonts w:ascii="Times New Roman" w:eastAsia="Times New Roman" w:hAnsi="Times New Roman" w:cs="Times New Roman"/>
          <w:b/>
          <w:bCs/>
          <w:kern w:val="0"/>
          <w:lang w:eastAsia="en-GB"/>
          <w14:ligatures w14:val="none"/>
        </w:rPr>
        <w:t>founder dominance</w:t>
      </w:r>
      <w:r w:rsidRPr="000972FD">
        <w:rPr>
          <w:rFonts w:ascii="Times New Roman" w:eastAsia="Times New Roman" w:hAnsi="Times New Roman" w:cs="Times New Roman"/>
          <w:kern w:val="0"/>
          <w:lang w:eastAsia="en-GB"/>
          <w14:ligatures w14:val="none"/>
        </w:rPr>
        <w:t xml:space="preserve">, </w:t>
      </w:r>
      <w:r w:rsidRPr="000972FD">
        <w:rPr>
          <w:rFonts w:ascii="Times New Roman" w:eastAsia="Times New Roman" w:hAnsi="Times New Roman" w:cs="Times New Roman"/>
          <w:b/>
          <w:bCs/>
          <w:kern w:val="0"/>
          <w:lang w:eastAsia="en-GB"/>
          <w14:ligatures w14:val="none"/>
        </w:rPr>
        <w:t>historic contribution</w:t>
      </w:r>
      <w:r w:rsidRPr="000972FD">
        <w:rPr>
          <w:rFonts w:ascii="Times New Roman" w:eastAsia="Times New Roman" w:hAnsi="Times New Roman" w:cs="Times New Roman"/>
          <w:kern w:val="0"/>
          <w:lang w:eastAsia="en-GB"/>
          <w14:ligatures w14:val="none"/>
        </w:rPr>
        <w:t>, and not professional performance.</w:t>
      </w:r>
    </w:p>
    <w:p w14:paraId="4EA9767F" w14:textId="77777777" w:rsidR="000972FD" w:rsidRPr="000972FD" w:rsidRDefault="000972FD" w:rsidP="000972FD">
      <w:p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b/>
          <w:bCs/>
          <w:kern w:val="0"/>
          <w:lang w:eastAsia="en-GB"/>
          <w14:ligatures w14:val="none"/>
        </w:rPr>
        <w:t>Recommendation:</w:t>
      </w:r>
      <w:r w:rsidRPr="000972FD">
        <w:rPr>
          <w:rFonts w:ascii="Times New Roman" w:eastAsia="Times New Roman" w:hAnsi="Times New Roman" w:cs="Times New Roman"/>
          <w:kern w:val="0"/>
          <w:lang w:eastAsia="en-GB"/>
          <w14:ligatures w14:val="none"/>
        </w:rPr>
        <w:br/>
        <w:t xml:space="preserve">Design a </w:t>
      </w:r>
      <w:r w:rsidRPr="000972FD">
        <w:rPr>
          <w:rFonts w:ascii="Times New Roman" w:eastAsia="Times New Roman" w:hAnsi="Times New Roman" w:cs="Times New Roman"/>
          <w:b/>
          <w:bCs/>
          <w:kern w:val="0"/>
          <w:lang w:eastAsia="en-GB"/>
          <w14:ligatures w14:val="none"/>
        </w:rPr>
        <w:t>Performance-Linked Partnership Framework</w:t>
      </w:r>
      <w:r w:rsidRPr="000972FD">
        <w:rPr>
          <w:rFonts w:ascii="Times New Roman" w:eastAsia="Times New Roman" w:hAnsi="Times New Roman" w:cs="Times New Roman"/>
          <w:kern w:val="0"/>
          <w:lang w:eastAsia="en-GB"/>
          <w14:ligatures w14:val="none"/>
        </w:rPr>
        <w:t>—decision rights and economic rights partly linked to role, responsibility and outcomes.</w:t>
      </w:r>
    </w:p>
    <w:p w14:paraId="1A89894C" w14:textId="77777777" w:rsidR="000972FD" w:rsidRPr="000972FD" w:rsidRDefault="000972FD" w:rsidP="000972FD">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0972FD">
        <w:rPr>
          <w:rFonts w:ascii="Times New Roman" w:eastAsia="Times New Roman" w:hAnsi="Times New Roman" w:cs="Times New Roman"/>
          <w:b/>
          <w:bCs/>
          <w:kern w:val="0"/>
          <w:lang w:eastAsia="en-GB"/>
          <w14:ligatures w14:val="none"/>
        </w:rPr>
        <w:lastRenderedPageBreak/>
        <w:t>5. IBBI Proposal: Pro-Rata Reduction of 5% Requirement For Large IPEs</w:t>
      </w:r>
    </w:p>
    <w:p w14:paraId="2964E24E" w14:textId="77777777" w:rsidR="000972FD" w:rsidRPr="000972FD" w:rsidRDefault="000972FD" w:rsidP="000972FD">
      <w:p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i/>
          <w:iCs/>
          <w:kern w:val="0"/>
          <w:lang w:eastAsia="en-GB"/>
          <w14:ligatures w14:val="none"/>
        </w:rPr>
        <w:t xml:space="preserve">Reference: Discussion Paper para 7 </w:t>
      </w:r>
    </w:p>
    <w:p w14:paraId="1E4A9EEF" w14:textId="77777777" w:rsidR="000972FD" w:rsidRPr="000972FD" w:rsidRDefault="000972FD" w:rsidP="000972FD">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0972FD">
        <w:rPr>
          <w:rFonts w:ascii="Times New Roman" w:eastAsia="Times New Roman" w:hAnsi="Times New Roman" w:cs="Times New Roman"/>
          <w:b/>
          <w:bCs/>
          <w:kern w:val="0"/>
          <w:lang w:eastAsia="en-GB"/>
          <w14:ligatures w14:val="none"/>
        </w:rPr>
        <w:t>AIPE Feedback:</w:t>
      </w:r>
    </w:p>
    <w:p w14:paraId="2FBFED13" w14:textId="77777777" w:rsidR="000972FD" w:rsidRPr="000972FD" w:rsidRDefault="000972FD" w:rsidP="000972FD">
      <w:p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 xml:space="preserve">Members appreciated the intent but found the proposal </w:t>
      </w:r>
      <w:r w:rsidRPr="000972FD">
        <w:rPr>
          <w:rFonts w:ascii="Times New Roman" w:eastAsia="Times New Roman" w:hAnsi="Times New Roman" w:cs="Times New Roman"/>
          <w:b/>
          <w:bCs/>
          <w:kern w:val="0"/>
          <w:lang w:eastAsia="en-GB"/>
          <w14:ligatures w14:val="none"/>
        </w:rPr>
        <w:t>ambiguous</w:t>
      </w:r>
      <w:r w:rsidRPr="000972FD">
        <w:rPr>
          <w:rFonts w:ascii="Times New Roman" w:eastAsia="Times New Roman" w:hAnsi="Times New Roman" w:cs="Times New Roman"/>
          <w:kern w:val="0"/>
          <w:lang w:eastAsia="en-GB"/>
          <w14:ligatures w14:val="none"/>
        </w:rPr>
        <w:t>, especially regarding:</w:t>
      </w:r>
    </w:p>
    <w:p w14:paraId="70F6B8DB" w14:textId="77777777" w:rsidR="000972FD" w:rsidRPr="000972FD" w:rsidRDefault="000972FD" w:rsidP="000972FD">
      <w:pPr>
        <w:numPr>
          <w:ilvl w:val="0"/>
          <w:numId w:val="2"/>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Method of pro-rata computation;</w:t>
      </w:r>
    </w:p>
    <w:p w14:paraId="441EAA49" w14:textId="77777777" w:rsidR="000972FD" w:rsidRPr="000972FD" w:rsidRDefault="000972FD" w:rsidP="000972FD">
      <w:pPr>
        <w:numPr>
          <w:ilvl w:val="0"/>
          <w:numId w:val="2"/>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Alignment with LLP laws permitting different profit-sharing ratios despite capital contribution;</w:t>
      </w:r>
    </w:p>
    <w:p w14:paraId="67778E9B" w14:textId="467F7B0C" w:rsidR="000972FD" w:rsidRPr="000972FD" w:rsidRDefault="000972FD" w:rsidP="000972FD">
      <w:pPr>
        <w:numPr>
          <w:ilvl w:val="0"/>
          <w:numId w:val="2"/>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 xml:space="preserve">Potential burden to continuously adjust shareholding on every admission/exit. </w:t>
      </w:r>
    </w:p>
    <w:p w14:paraId="70A6B336" w14:textId="77777777" w:rsidR="000972FD" w:rsidRPr="000972FD" w:rsidRDefault="000972FD" w:rsidP="000972FD">
      <w:p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b/>
          <w:bCs/>
          <w:kern w:val="0"/>
          <w:lang w:eastAsia="en-GB"/>
          <w14:ligatures w14:val="none"/>
        </w:rPr>
        <w:t>Recommendation:</w:t>
      </w:r>
      <w:r w:rsidRPr="000972FD">
        <w:rPr>
          <w:rFonts w:ascii="Times New Roman" w:eastAsia="Times New Roman" w:hAnsi="Times New Roman" w:cs="Times New Roman"/>
          <w:kern w:val="0"/>
          <w:lang w:eastAsia="en-GB"/>
          <w14:ligatures w14:val="none"/>
        </w:rPr>
        <w:br/>
        <w:t xml:space="preserve">Replace pro-rata formula with </w:t>
      </w:r>
      <w:r w:rsidRPr="000972FD">
        <w:rPr>
          <w:rFonts w:ascii="Times New Roman" w:eastAsia="Times New Roman" w:hAnsi="Times New Roman" w:cs="Times New Roman"/>
          <w:b/>
          <w:bCs/>
          <w:kern w:val="0"/>
          <w:lang w:eastAsia="en-GB"/>
          <w14:ligatures w14:val="none"/>
        </w:rPr>
        <w:t>fixed cash minimum thresholds</w:t>
      </w:r>
      <w:r w:rsidRPr="000972FD">
        <w:rPr>
          <w:rFonts w:ascii="Times New Roman" w:eastAsia="Times New Roman" w:hAnsi="Times New Roman" w:cs="Times New Roman"/>
          <w:kern w:val="0"/>
          <w:lang w:eastAsia="en-GB"/>
          <w14:ligatures w14:val="none"/>
        </w:rPr>
        <w:t xml:space="preserve"> for IPEs above certain partner counts.</w:t>
      </w:r>
    </w:p>
    <w:p w14:paraId="23F03F8F" w14:textId="77777777" w:rsidR="000972FD" w:rsidRPr="000972FD" w:rsidRDefault="000972FD" w:rsidP="000972FD">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0972FD">
        <w:rPr>
          <w:rFonts w:ascii="Times New Roman" w:eastAsia="Times New Roman" w:hAnsi="Times New Roman" w:cs="Times New Roman"/>
          <w:b/>
          <w:bCs/>
          <w:kern w:val="0"/>
          <w:lang w:eastAsia="en-GB"/>
          <w14:ligatures w14:val="none"/>
        </w:rPr>
        <w:t>6. Issue Identified: Risks to IP Independence and Confidentiality</w:t>
      </w:r>
    </w:p>
    <w:p w14:paraId="52C306BF" w14:textId="77777777" w:rsidR="000972FD" w:rsidRPr="000972FD" w:rsidRDefault="000972FD" w:rsidP="000972FD">
      <w:p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i/>
          <w:iCs/>
          <w:kern w:val="0"/>
          <w:lang w:eastAsia="en-GB"/>
          <w14:ligatures w14:val="none"/>
        </w:rPr>
        <w:t xml:space="preserve">Reference: Discussion Paper para 6(d) </w:t>
      </w:r>
    </w:p>
    <w:p w14:paraId="1EE6B743" w14:textId="77777777" w:rsidR="000972FD" w:rsidRPr="000972FD" w:rsidRDefault="000972FD" w:rsidP="000972FD">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0972FD">
        <w:rPr>
          <w:rFonts w:ascii="Times New Roman" w:eastAsia="Times New Roman" w:hAnsi="Times New Roman" w:cs="Times New Roman"/>
          <w:b/>
          <w:bCs/>
          <w:kern w:val="0"/>
          <w:lang w:eastAsia="en-GB"/>
          <w14:ligatures w14:val="none"/>
        </w:rPr>
        <w:t>AIPE Feedback:</w:t>
      </w:r>
    </w:p>
    <w:p w14:paraId="14115212" w14:textId="5ADA0136" w:rsidR="000972FD" w:rsidRPr="000972FD" w:rsidRDefault="000972FD" w:rsidP="000972FD">
      <w:p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 xml:space="preserve">Members noted that independence is compromised not by capital levels but by </w:t>
      </w:r>
      <w:r w:rsidRPr="000972FD">
        <w:rPr>
          <w:rFonts w:ascii="Times New Roman" w:eastAsia="Times New Roman" w:hAnsi="Times New Roman" w:cs="Times New Roman"/>
          <w:b/>
          <w:bCs/>
          <w:kern w:val="0"/>
          <w:lang w:eastAsia="en-GB"/>
          <w14:ligatures w14:val="none"/>
        </w:rPr>
        <w:t>weak governance, dominance of a few, and lack of compliance structures</w:t>
      </w:r>
      <w:r w:rsidRPr="000972FD">
        <w:rPr>
          <w:rFonts w:ascii="Times New Roman" w:eastAsia="Times New Roman" w:hAnsi="Times New Roman" w:cs="Times New Roman"/>
          <w:kern w:val="0"/>
          <w:lang w:eastAsia="en-GB"/>
          <w14:ligatures w14:val="none"/>
        </w:rPr>
        <w:t xml:space="preserve">. </w:t>
      </w:r>
    </w:p>
    <w:p w14:paraId="77863003" w14:textId="77777777" w:rsidR="000972FD" w:rsidRPr="000972FD" w:rsidRDefault="000972FD" w:rsidP="000972FD">
      <w:p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b/>
          <w:bCs/>
          <w:kern w:val="0"/>
          <w:lang w:eastAsia="en-GB"/>
          <w14:ligatures w14:val="none"/>
        </w:rPr>
        <w:t>Recommendation:</w:t>
      </w:r>
      <w:r w:rsidRPr="000972FD">
        <w:rPr>
          <w:rFonts w:ascii="Times New Roman" w:eastAsia="Times New Roman" w:hAnsi="Times New Roman" w:cs="Times New Roman"/>
          <w:kern w:val="0"/>
          <w:lang w:eastAsia="en-GB"/>
          <w14:ligatures w14:val="none"/>
        </w:rPr>
        <w:br/>
        <w:t xml:space="preserve">Make </w:t>
      </w:r>
      <w:r w:rsidRPr="000972FD">
        <w:rPr>
          <w:rFonts w:ascii="Times New Roman" w:eastAsia="Times New Roman" w:hAnsi="Times New Roman" w:cs="Times New Roman"/>
          <w:b/>
          <w:bCs/>
          <w:kern w:val="0"/>
          <w:lang w:eastAsia="en-GB"/>
          <w14:ligatures w14:val="none"/>
        </w:rPr>
        <w:t>Compliance Officer</w:t>
      </w:r>
      <w:r w:rsidRPr="000972FD">
        <w:rPr>
          <w:rFonts w:ascii="Times New Roman" w:eastAsia="Times New Roman" w:hAnsi="Times New Roman" w:cs="Times New Roman"/>
          <w:kern w:val="0"/>
          <w:lang w:eastAsia="en-GB"/>
          <w14:ligatures w14:val="none"/>
        </w:rPr>
        <w:t xml:space="preserve"> mandatory for IPEs with more than 5–10 partners.</w:t>
      </w:r>
    </w:p>
    <w:p w14:paraId="269F3404" w14:textId="77777777" w:rsidR="000972FD" w:rsidRPr="000972FD" w:rsidRDefault="000972FD" w:rsidP="000972FD">
      <w:pPr>
        <w:spacing w:before="100" w:beforeAutospacing="1" w:after="100" w:afterAutospacing="1" w:line="240" w:lineRule="auto"/>
        <w:outlineLvl w:val="1"/>
        <w:rPr>
          <w:rFonts w:ascii="Times New Roman" w:eastAsia="Times New Roman" w:hAnsi="Times New Roman" w:cs="Times New Roman"/>
          <w:b/>
          <w:bCs/>
          <w:kern w:val="0"/>
          <w:lang w:eastAsia="en-GB"/>
          <w14:ligatures w14:val="none"/>
        </w:rPr>
      </w:pPr>
      <w:r w:rsidRPr="000972FD">
        <w:rPr>
          <w:rFonts w:ascii="Times New Roman" w:eastAsia="Times New Roman" w:hAnsi="Times New Roman" w:cs="Times New Roman"/>
          <w:b/>
          <w:bCs/>
          <w:kern w:val="0"/>
          <w:lang w:eastAsia="en-GB"/>
          <w14:ligatures w14:val="none"/>
        </w:rPr>
        <w:t>III. AIPE’s Consolidated Recommendations to IBBI</w:t>
      </w:r>
    </w:p>
    <w:p w14:paraId="449B4BC1" w14:textId="77777777" w:rsidR="000972FD" w:rsidRPr="000972FD" w:rsidRDefault="000972FD" w:rsidP="000972FD">
      <w:p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Based on discussions and consensus notes from the meeting (), AIPE proposes the following structured reforms:</w:t>
      </w:r>
    </w:p>
    <w:p w14:paraId="24D7C29A" w14:textId="77777777" w:rsidR="000972FD" w:rsidRPr="000972FD" w:rsidRDefault="000972FD" w:rsidP="000972FD">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0972FD">
        <w:rPr>
          <w:rFonts w:ascii="Times New Roman" w:eastAsia="Times New Roman" w:hAnsi="Times New Roman" w:cs="Times New Roman"/>
          <w:b/>
          <w:bCs/>
          <w:kern w:val="0"/>
          <w:lang w:eastAsia="en-GB"/>
          <w14:ligatures w14:val="none"/>
        </w:rPr>
        <w:t>1. Adopt a Scaled and Flexible Minimum Capital Requirement</w:t>
      </w:r>
    </w:p>
    <w:p w14:paraId="045148D8" w14:textId="77777777" w:rsidR="000972FD" w:rsidRPr="000972FD" w:rsidRDefault="000972FD" w:rsidP="000972FD">
      <w:p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Instead of a universal 5%:</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780"/>
        <w:gridCol w:w="3567"/>
        <w:gridCol w:w="3669"/>
      </w:tblGrid>
      <w:tr w:rsidR="000972FD" w:rsidRPr="000972FD" w14:paraId="6BB07566" w14:textId="77777777" w:rsidTr="000972FD">
        <w:trPr>
          <w:tblHeader/>
          <w:tblCellSpacing w:w="15" w:type="dxa"/>
        </w:trPr>
        <w:tc>
          <w:tcPr>
            <w:tcW w:w="0" w:type="auto"/>
            <w:vAlign w:val="center"/>
            <w:hideMark/>
          </w:tcPr>
          <w:p w14:paraId="3D64311A" w14:textId="77777777" w:rsidR="000972FD" w:rsidRPr="000972FD" w:rsidRDefault="000972FD" w:rsidP="000972FD">
            <w:pPr>
              <w:spacing w:after="0" w:line="240" w:lineRule="auto"/>
              <w:jc w:val="center"/>
              <w:rPr>
                <w:rFonts w:ascii="Times New Roman" w:eastAsia="Times New Roman" w:hAnsi="Times New Roman" w:cs="Times New Roman"/>
                <w:b/>
                <w:bCs/>
                <w:kern w:val="0"/>
                <w:lang w:eastAsia="en-GB"/>
                <w14:ligatures w14:val="none"/>
              </w:rPr>
            </w:pPr>
            <w:r w:rsidRPr="000972FD">
              <w:rPr>
                <w:rFonts w:ascii="Times New Roman" w:eastAsia="Times New Roman" w:hAnsi="Times New Roman" w:cs="Times New Roman"/>
                <w:b/>
                <w:bCs/>
                <w:kern w:val="0"/>
                <w:lang w:eastAsia="en-GB"/>
                <w14:ligatures w14:val="none"/>
              </w:rPr>
              <w:t>Number of Partners</w:t>
            </w:r>
          </w:p>
        </w:tc>
        <w:tc>
          <w:tcPr>
            <w:tcW w:w="0" w:type="auto"/>
            <w:vAlign w:val="center"/>
            <w:hideMark/>
          </w:tcPr>
          <w:p w14:paraId="47BC99D9" w14:textId="77777777" w:rsidR="000972FD" w:rsidRPr="000972FD" w:rsidRDefault="000972FD" w:rsidP="000972FD">
            <w:pPr>
              <w:spacing w:after="0" w:line="240" w:lineRule="auto"/>
              <w:jc w:val="center"/>
              <w:rPr>
                <w:rFonts w:ascii="Times New Roman" w:eastAsia="Times New Roman" w:hAnsi="Times New Roman" w:cs="Times New Roman"/>
                <w:b/>
                <w:bCs/>
                <w:kern w:val="0"/>
                <w:lang w:eastAsia="en-GB"/>
                <w14:ligatures w14:val="none"/>
              </w:rPr>
            </w:pPr>
            <w:r w:rsidRPr="000972FD">
              <w:rPr>
                <w:rFonts w:ascii="Times New Roman" w:eastAsia="Times New Roman" w:hAnsi="Times New Roman" w:cs="Times New Roman"/>
                <w:b/>
                <w:bCs/>
                <w:kern w:val="0"/>
                <w:lang w:eastAsia="en-GB"/>
                <w14:ligatures w14:val="none"/>
              </w:rPr>
              <w:t>Minimum Capital Contribution per Partner</w:t>
            </w:r>
          </w:p>
        </w:tc>
        <w:tc>
          <w:tcPr>
            <w:tcW w:w="0" w:type="auto"/>
            <w:vAlign w:val="center"/>
            <w:hideMark/>
          </w:tcPr>
          <w:p w14:paraId="2966E6C9" w14:textId="77777777" w:rsidR="000972FD" w:rsidRPr="000972FD" w:rsidRDefault="000972FD" w:rsidP="000972FD">
            <w:pPr>
              <w:spacing w:after="0" w:line="240" w:lineRule="auto"/>
              <w:jc w:val="center"/>
              <w:rPr>
                <w:rFonts w:ascii="Times New Roman" w:eastAsia="Times New Roman" w:hAnsi="Times New Roman" w:cs="Times New Roman"/>
                <w:b/>
                <w:bCs/>
                <w:kern w:val="0"/>
                <w:lang w:eastAsia="en-GB"/>
                <w14:ligatures w14:val="none"/>
              </w:rPr>
            </w:pPr>
            <w:r w:rsidRPr="000972FD">
              <w:rPr>
                <w:rFonts w:ascii="Times New Roman" w:eastAsia="Times New Roman" w:hAnsi="Times New Roman" w:cs="Times New Roman"/>
                <w:b/>
                <w:bCs/>
                <w:kern w:val="0"/>
                <w:lang w:eastAsia="en-GB"/>
                <w14:ligatures w14:val="none"/>
              </w:rPr>
              <w:t>Rationale</w:t>
            </w:r>
          </w:p>
        </w:tc>
      </w:tr>
      <w:tr w:rsidR="000972FD" w:rsidRPr="000972FD" w14:paraId="611A3117" w14:textId="77777777" w:rsidTr="000972FD">
        <w:trPr>
          <w:tblCellSpacing w:w="15" w:type="dxa"/>
        </w:trPr>
        <w:tc>
          <w:tcPr>
            <w:tcW w:w="0" w:type="auto"/>
            <w:vAlign w:val="center"/>
            <w:hideMark/>
          </w:tcPr>
          <w:p w14:paraId="6B94B5B9" w14:textId="77777777" w:rsidR="000972FD" w:rsidRPr="000972FD" w:rsidRDefault="000972FD" w:rsidP="000972FD">
            <w:pPr>
              <w:spacing w:after="0"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Up to 10 partners</w:t>
            </w:r>
          </w:p>
        </w:tc>
        <w:tc>
          <w:tcPr>
            <w:tcW w:w="0" w:type="auto"/>
            <w:vAlign w:val="center"/>
            <w:hideMark/>
          </w:tcPr>
          <w:p w14:paraId="430C7B29" w14:textId="77777777" w:rsidR="000972FD" w:rsidRPr="000972FD" w:rsidRDefault="000972FD" w:rsidP="000972FD">
            <w:pPr>
              <w:spacing w:after="0"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5% OR ₹5 lakh (whichever lower)</w:t>
            </w:r>
          </w:p>
        </w:tc>
        <w:tc>
          <w:tcPr>
            <w:tcW w:w="0" w:type="auto"/>
            <w:vAlign w:val="center"/>
            <w:hideMark/>
          </w:tcPr>
          <w:p w14:paraId="50DD9E99" w14:textId="77777777" w:rsidR="000972FD" w:rsidRPr="000972FD" w:rsidRDefault="000972FD" w:rsidP="000972FD">
            <w:pPr>
              <w:spacing w:after="0"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Ensures skin in the game without heavy barriers.</w:t>
            </w:r>
          </w:p>
        </w:tc>
      </w:tr>
      <w:tr w:rsidR="000972FD" w:rsidRPr="000972FD" w14:paraId="374310F4" w14:textId="77777777" w:rsidTr="000972FD">
        <w:trPr>
          <w:tblCellSpacing w:w="15" w:type="dxa"/>
        </w:trPr>
        <w:tc>
          <w:tcPr>
            <w:tcW w:w="0" w:type="auto"/>
            <w:vAlign w:val="center"/>
            <w:hideMark/>
          </w:tcPr>
          <w:p w14:paraId="44DA3392" w14:textId="77777777" w:rsidR="000972FD" w:rsidRPr="000972FD" w:rsidRDefault="000972FD" w:rsidP="000972FD">
            <w:pPr>
              <w:spacing w:after="0"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11–20 partners</w:t>
            </w:r>
          </w:p>
        </w:tc>
        <w:tc>
          <w:tcPr>
            <w:tcW w:w="0" w:type="auto"/>
            <w:vAlign w:val="center"/>
            <w:hideMark/>
          </w:tcPr>
          <w:p w14:paraId="01F93751" w14:textId="77777777" w:rsidR="000972FD" w:rsidRPr="000972FD" w:rsidRDefault="000972FD" w:rsidP="000972FD">
            <w:pPr>
              <w:spacing w:after="0"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3% OR ₹4 lakh</w:t>
            </w:r>
          </w:p>
        </w:tc>
        <w:tc>
          <w:tcPr>
            <w:tcW w:w="0" w:type="auto"/>
            <w:vAlign w:val="center"/>
            <w:hideMark/>
          </w:tcPr>
          <w:p w14:paraId="50CBD8A5" w14:textId="77777777" w:rsidR="000972FD" w:rsidRPr="000972FD" w:rsidRDefault="000972FD" w:rsidP="000972FD">
            <w:pPr>
              <w:spacing w:after="0"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Recognises diversified partner base.</w:t>
            </w:r>
          </w:p>
        </w:tc>
      </w:tr>
      <w:tr w:rsidR="000972FD" w:rsidRPr="000972FD" w14:paraId="12AC9FB1" w14:textId="77777777" w:rsidTr="000972FD">
        <w:trPr>
          <w:tblCellSpacing w:w="15" w:type="dxa"/>
        </w:trPr>
        <w:tc>
          <w:tcPr>
            <w:tcW w:w="0" w:type="auto"/>
            <w:vAlign w:val="center"/>
            <w:hideMark/>
          </w:tcPr>
          <w:p w14:paraId="22EE3769" w14:textId="77777777" w:rsidR="000972FD" w:rsidRPr="000972FD" w:rsidRDefault="000972FD" w:rsidP="000972FD">
            <w:pPr>
              <w:spacing w:after="0"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21–50 partners</w:t>
            </w:r>
          </w:p>
        </w:tc>
        <w:tc>
          <w:tcPr>
            <w:tcW w:w="0" w:type="auto"/>
            <w:vAlign w:val="center"/>
            <w:hideMark/>
          </w:tcPr>
          <w:p w14:paraId="27D077A9" w14:textId="77777777" w:rsidR="000972FD" w:rsidRPr="000972FD" w:rsidRDefault="000972FD" w:rsidP="000972FD">
            <w:pPr>
              <w:spacing w:after="0"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1–2% OR ₹2–3 lakh</w:t>
            </w:r>
          </w:p>
        </w:tc>
        <w:tc>
          <w:tcPr>
            <w:tcW w:w="0" w:type="auto"/>
            <w:vAlign w:val="center"/>
            <w:hideMark/>
          </w:tcPr>
          <w:p w14:paraId="038B50EF" w14:textId="77777777" w:rsidR="000972FD" w:rsidRPr="000972FD" w:rsidRDefault="000972FD" w:rsidP="000972FD">
            <w:pPr>
              <w:spacing w:after="0"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Avoids impractical capital restructuring.</w:t>
            </w:r>
          </w:p>
        </w:tc>
      </w:tr>
      <w:tr w:rsidR="000972FD" w:rsidRPr="000972FD" w14:paraId="26843CA6" w14:textId="77777777" w:rsidTr="000972FD">
        <w:trPr>
          <w:tblCellSpacing w:w="15" w:type="dxa"/>
        </w:trPr>
        <w:tc>
          <w:tcPr>
            <w:tcW w:w="0" w:type="auto"/>
            <w:vAlign w:val="center"/>
            <w:hideMark/>
          </w:tcPr>
          <w:p w14:paraId="03770BFE" w14:textId="77777777" w:rsidR="000972FD" w:rsidRPr="000972FD" w:rsidRDefault="000972FD" w:rsidP="000972FD">
            <w:pPr>
              <w:spacing w:after="0"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50+ partners</w:t>
            </w:r>
          </w:p>
        </w:tc>
        <w:tc>
          <w:tcPr>
            <w:tcW w:w="0" w:type="auto"/>
            <w:vAlign w:val="center"/>
            <w:hideMark/>
          </w:tcPr>
          <w:p w14:paraId="0913B5B7" w14:textId="77777777" w:rsidR="000972FD" w:rsidRPr="000972FD" w:rsidRDefault="000972FD" w:rsidP="000972FD">
            <w:pPr>
              <w:spacing w:after="0"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Flat minimum cash contribution only</w:t>
            </w:r>
          </w:p>
        </w:tc>
        <w:tc>
          <w:tcPr>
            <w:tcW w:w="0" w:type="auto"/>
            <w:vAlign w:val="center"/>
            <w:hideMark/>
          </w:tcPr>
          <w:p w14:paraId="542EE7EC" w14:textId="77777777" w:rsidR="000972FD" w:rsidRPr="000972FD" w:rsidRDefault="000972FD" w:rsidP="000972FD">
            <w:pPr>
              <w:spacing w:after="0"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Prevents constant dilution.</w:t>
            </w:r>
          </w:p>
        </w:tc>
      </w:tr>
    </w:tbl>
    <w:p w14:paraId="3A178612" w14:textId="77777777" w:rsidR="000972FD" w:rsidRPr="000972FD" w:rsidRDefault="000972FD" w:rsidP="000972FD">
      <w:p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lastRenderedPageBreak/>
        <w:t>This model prevents barriers to entry and avoids destructive valuation disputes.</w:t>
      </w:r>
    </w:p>
    <w:p w14:paraId="30AAC709" w14:textId="77777777" w:rsidR="000972FD" w:rsidRPr="000972FD" w:rsidRDefault="000972FD" w:rsidP="000972FD">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0972FD">
        <w:rPr>
          <w:rFonts w:ascii="Times New Roman" w:eastAsia="Times New Roman" w:hAnsi="Times New Roman" w:cs="Times New Roman"/>
          <w:b/>
          <w:bCs/>
          <w:kern w:val="0"/>
          <w:lang w:eastAsia="en-GB"/>
          <w14:ligatures w14:val="none"/>
        </w:rPr>
        <w:t>2. Create a Formal Governance Code for IPEs (mandatory)</w:t>
      </w:r>
    </w:p>
    <w:p w14:paraId="22A2721F" w14:textId="77777777" w:rsidR="000972FD" w:rsidRPr="000972FD" w:rsidRDefault="000972FD" w:rsidP="000972FD">
      <w:p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 xml:space="preserve">AIPE recommends IBBI prescribe or endorse a </w:t>
      </w:r>
      <w:r w:rsidRPr="000972FD">
        <w:rPr>
          <w:rFonts w:ascii="Times New Roman" w:eastAsia="Times New Roman" w:hAnsi="Times New Roman" w:cs="Times New Roman"/>
          <w:b/>
          <w:bCs/>
          <w:kern w:val="0"/>
          <w:lang w:eastAsia="en-GB"/>
          <w14:ligatures w14:val="none"/>
        </w:rPr>
        <w:t>Minimum Governance Framework</w:t>
      </w:r>
      <w:r w:rsidRPr="000972FD">
        <w:rPr>
          <w:rFonts w:ascii="Times New Roman" w:eastAsia="Times New Roman" w:hAnsi="Times New Roman" w:cs="Times New Roman"/>
          <w:kern w:val="0"/>
          <w:lang w:eastAsia="en-GB"/>
          <w14:ligatures w14:val="none"/>
        </w:rPr>
        <w:t>:</w:t>
      </w:r>
    </w:p>
    <w:p w14:paraId="4D00DE89" w14:textId="77777777" w:rsidR="000972FD" w:rsidRPr="000972FD" w:rsidRDefault="000972FD" w:rsidP="000972FD">
      <w:pPr>
        <w:numPr>
          <w:ilvl w:val="0"/>
          <w:numId w:val="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b/>
          <w:bCs/>
          <w:kern w:val="0"/>
          <w:lang w:eastAsia="en-GB"/>
          <w14:ligatures w14:val="none"/>
        </w:rPr>
        <w:t>Compliance Officer (full-time)</w:t>
      </w:r>
      <w:r w:rsidRPr="000972FD">
        <w:rPr>
          <w:rFonts w:ascii="Times New Roman" w:eastAsia="Times New Roman" w:hAnsi="Times New Roman" w:cs="Times New Roman"/>
          <w:kern w:val="0"/>
          <w:lang w:eastAsia="en-GB"/>
          <w14:ligatures w14:val="none"/>
        </w:rPr>
        <w:t xml:space="preserve"> for IPEs above 10 partners.</w:t>
      </w:r>
    </w:p>
    <w:p w14:paraId="35660E5A" w14:textId="77777777" w:rsidR="000972FD" w:rsidRPr="000972FD" w:rsidRDefault="000972FD" w:rsidP="000972FD">
      <w:pPr>
        <w:numPr>
          <w:ilvl w:val="0"/>
          <w:numId w:val="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Classification of partners into:</w:t>
      </w:r>
    </w:p>
    <w:p w14:paraId="274171B5" w14:textId="77777777" w:rsidR="000972FD" w:rsidRPr="000972FD" w:rsidRDefault="000972FD" w:rsidP="000972FD">
      <w:pPr>
        <w:numPr>
          <w:ilvl w:val="1"/>
          <w:numId w:val="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i/>
          <w:iCs/>
          <w:kern w:val="0"/>
          <w:lang w:eastAsia="en-GB"/>
          <w14:ligatures w14:val="none"/>
        </w:rPr>
        <w:t>Working/Active Partners</w:t>
      </w:r>
      <w:r w:rsidRPr="000972FD">
        <w:rPr>
          <w:rFonts w:ascii="Times New Roman" w:eastAsia="Times New Roman" w:hAnsi="Times New Roman" w:cs="Times New Roman"/>
          <w:kern w:val="0"/>
          <w:lang w:eastAsia="en-GB"/>
          <w14:ligatures w14:val="none"/>
        </w:rPr>
        <w:t>,</w:t>
      </w:r>
    </w:p>
    <w:p w14:paraId="14B3EC85" w14:textId="77777777" w:rsidR="000972FD" w:rsidRPr="000972FD" w:rsidRDefault="000972FD" w:rsidP="000972FD">
      <w:pPr>
        <w:numPr>
          <w:ilvl w:val="1"/>
          <w:numId w:val="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i/>
          <w:iCs/>
          <w:kern w:val="0"/>
          <w:lang w:eastAsia="en-GB"/>
          <w14:ligatures w14:val="none"/>
        </w:rPr>
        <w:t>Non-working/Founding Partners</w:t>
      </w:r>
      <w:r w:rsidRPr="000972FD">
        <w:rPr>
          <w:rFonts w:ascii="Times New Roman" w:eastAsia="Times New Roman" w:hAnsi="Times New Roman" w:cs="Times New Roman"/>
          <w:kern w:val="0"/>
          <w:lang w:eastAsia="en-GB"/>
          <w14:ligatures w14:val="none"/>
        </w:rPr>
        <w:t>.</w:t>
      </w:r>
    </w:p>
    <w:p w14:paraId="558573E5" w14:textId="77777777" w:rsidR="000972FD" w:rsidRPr="000972FD" w:rsidRDefault="000972FD" w:rsidP="000972FD">
      <w:pPr>
        <w:numPr>
          <w:ilvl w:val="0"/>
          <w:numId w:val="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Disclosure of:</w:t>
      </w:r>
    </w:p>
    <w:p w14:paraId="7BBC0043" w14:textId="77777777" w:rsidR="000972FD" w:rsidRPr="000972FD" w:rsidRDefault="000972FD" w:rsidP="000972FD">
      <w:pPr>
        <w:numPr>
          <w:ilvl w:val="1"/>
          <w:numId w:val="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related party transactions,</w:t>
      </w:r>
    </w:p>
    <w:p w14:paraId="76631601" w14:textId="77777777" w:rsidR="000972FD" w:rsidRPr="000972FD" w:rsidRDefault="000972FD" w:rsidP="000972FD">
      <w:pPr>
        <w:numPr>
          <w:ilvl w:val="1"/>
          <w:numId w:val="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side agreements,</w:t>
      </w:r>
    </w:p>
    <w:p w14:paraId="52501461" w14:textId="77777777" w:rsidR="000972FD" w:rsidRPr="000972FD" w:rsidRDefault="000972FD" w:rsidP="000972FD">
      <w:pPr>
        <w:numPr>
          <w:ilvl w:val="1"/>
          <w:numId w:val="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conflict-of-interest arrangements.</w:t>
      </w:r>
    </w:p>
    <w:p w14:paraId="652ABC5B" w14:textId="77777777" w:rsidR="000972FD" w:rsidRPr="000972FD" w:rsidRDefault="000972FD" w:rsidP="000972FD">
      <w:pPr>
        <w:numPr>
          <w:ilvl w:val="0"/>
          <w:numId w:val="3"/>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Mandatory annual governance report to IBBI.</w:t>
      </w:r>
    </w:p>
    <w:p w14:paraId="23B4F887" w14:textId="77777777" w:rsidR="000972FD" w:rsidRPr="000972FD" w:rsidRDefault="000972FD" w:rsidP="000972FD">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0972FD">
        <w:rPr>
          <w:rFonts w:ascii="Times New Roman" w:eastAsia="Times New Roman" w:hAnsi="Times New Roman" w:cs="Times New Roman"/>
          <w:b/>
          <w:bCs/>
          <w:kern w:val="0"/>
          <w:lang w:eastAsia="en-GB"/>
          <w14:ligatures w14:val="none"/>
        </w:rPr>
        <w:t>3. Anchor Partner Concept</w:t>
      </w:r>
    </w:p>
    <w:p w14:paraId="084EAED3" w14:textId="06EEB751" w:rsidR="000972FD" w:rsidRPr="000972FD" w:rsidRDefault="000972FD" w:rsidP="000972FD">
      <w:p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 xml:space="preserve">Introduce rules allowing 1–2 </w:t>
      </w:r>
      <w:r w:rsidRPr="000972FD">
        <w:rPr>
          <w:rFonts w:ascii="Times New Roman" w:eastAsia="Times New Roman" w:hAnsi="Times New Roman" w:cs="Times New Roman"/>
          <w:b/>
          <w:bCs/>
          <w:kern w:val="0"/>
          <w:lang w:eastAsia="en-GB"/>
          <w14:ligatures w14:val="none"/>
        </w:rPr>
        <w:t>Anchor Partners</w:t>
      </w:r>
      <w:r w:rsidRPr="000972FD">
        <w:rPr>
          <w:rFonts w:ascii="Times New Roman" w:eastAsia="Times New Roman" w:hAnsi="Times New Roman" w:cs="Times New Roman"/>
          <w:kern w:val="0"/>
          <w:lang w:eastAsia="en-GB"/>
          <w14:ligatures w14:val="none"/>
        </w:rPr>
        <w:t xml:space="preserve"> with higher capital or responsibility, similar to RBI’s “promoter group” concept. </w:t>
      </w:r>
      <w:r>
        <w:rPr>
          <w:rFonts w:ascii="Times New Roman" w:eastAsia="Times New Roman" w:hAnsi="Times New Roman" w:cs="Times New Roman"/>
          <w:kern w:val="0"/>
          <w:lang w:eastAsia="en-GB"/>
          <w14:ligatures w14:val="none"/>
        </w:rPr>
        <w:t xml:space="preserve"> </w:t>
      </w:r>
      <w:r w:rsidRPr="000972FD">
        <w:rPr>
          <w:rFonts w:ascii="Times New Roman" w:eastAsia="Times New Roman" w:hAnsi="Times New Roman" w:cs="Times New Roman"/>
          <w:kern w:val="0"/>
          <w:lang w:eastAsia="en-GB"/>
          <w14:ligatures w14:val="none"/>
        </w:rPr>
        <w:t>This secures stability while ensuring others are not burdened with high equity buy-in.</w:t>
      </w:r>
    </w:p>
    <w:p w14:paraId="7D29A4EF" w14:textId="77777777" w:rsidR="000972FD" w:rsidRPr="000972FD" w:rsidRDefault="000972FD" w:rsidP="000972FD">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0972FD">
        <w:rPr>
          <w:rFonts w:ascii="Times New Roman" w:eastAsia="Times New Roman" w:hAnsi="Times New Roman" w:cs="Times New Roman"/>
          <w:b/>
          <w:bCs/>
          <w:kern w:val="0"/>
          <w:lang w:eastAsia="en-GB"/>
          <w14:ligatures w14:val="none"/>
        </w:rPr>
        <w:t>4. Standardised Entry/Exit Valuation Mechanism</w:t>
      </w:r>
    </w:p>
    <w:p w14:paraId="41A94E19" w14:textId="5D4ABC84" w:rsidR="000972FD" w:rsidRPr="000972FD" w:rsidRDefault="000972FD" w:rsidP="000972FD">
      <w:p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Members strongly opposed subjective valuations.</w:t>
      </w:r>
      <w:r>
        <w:rPr>
          <w:rFonts w:ascii="Times New Roman" w:eastAsia="Times New Roman" w:hAnsi="Times New Roman" w:cs="Times New Roman"/>
          <w:kern w:val="0"/>
          <w:lang w:eastAsia="en-GB"/>
          <w14:ligatures w14:val="none"/>
        </w:rPr>
        <w:t xml:space="preserve"> </w:t>
      </w:r>
      <w:r w:rsidRPr="000972FD">
        <w:rPr>
          <w:rFonts w:ascii="Times New Roman" w:eastAsia="Times New Roman" w:hAnsi="Times New Roman" w:cs="Times New Roman"/>
          <w:kern w:val="0"/>
          <w:lang w:eastAsia="en-GB"/>
          <w14:ligatures w14:val="none"/>
        </w:rPr>
        <w:t>AIPE recommends:</w:t>
      </w:r>
    </w:p>
    <w:p w14:paraId="1725F6DE" w14:textId="77777777" w:rsidR="000972FD" w:rsidRPr="000972FD" w:rsidRDefault="000972FD" w:rsidP="000972FD">
      <w:pPr>
        <w:numPr>
          <w:ilvl w:val="0"/>
          <w:numId w:val="4"/>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b/>
          <w:bCs/>
          <w:kern w:val="0"/>
          <w:lang w:eastAsia="en-GB"/>
          <w14:ligatures w14:val="none"/>
        </w:rPr>
        <w:t>Book value</w:t>
      </w:r>
      <w:r w:rsidRPr="000972FD">
        <w:rPr>
          <w:rFonts w:ascii="Times New Roman" w:eastAsia="Times New Roman" w:hAnsi="Times New Roman" w:cs="Times New Roman"/>
          <w:kern w:val="0"/>
          <w:lang w:eastAsia="en-GB"/>
          <w14:ligatures w14:val="none"/>
        </w:rPr>
        <w:t xml:space="preserve"> based on last audited financial statements, NOT future projections.</w:t>
      </w:r>
    </w:p>
    <w:p w14:paraId="267C57B3" w14:textId="77777777" w:rsidR="000972FD" w:rsidRPr="000972FD" w:rsidRDefault="000972FD" w:rsidP="000972FD">
      <w:pPr>
        <w:numPr>
          <w:ilvl w:val="0"/>
          <w:numId w:val="4"/>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Valuation formula to be included in regulation or guidelines.</w:t>
      </w:r>
    </w:p>
    <w:p w14:paraId="0B3D3896" w14:textId="0064FF67" w:rsidR="000972FD" w:rsidRPr="000972FD" w:rsidRDefault="000972FD" w:rsidP="000972FD">
      <w:p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 xml:space="preserve">This reduces disputes and prevents overvaluation-led barriers to entry. </w:t>
      </w:r>
    </w:p>
    <w:p w14:paraId="7B867E7B" w14:textId="77777777" w:rsidR="000972FD" w:rsidRPr="000972FD" w:rsidRDefault="000972FD" w:rsidP="000972FD">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0972FD">
        <w:rPr>
          <w:rFonts w:ascii="Times New Roman" w:eastAsia="Times New Roman" w:hAnsi="Times New Roman" w:cs="Times New Roman"/>
          <w:b/>
          <w:bCs/>
          <w:kern w:val="0"/>
          <w:lang w:eastAsia="en-GB"/>
          <w14:ligatures w14:val="none"/>
        </w:rPr>
        <w:t>5. Clarify Meaning of “Capital Contribution”</w:t>
      </w:r>
    </w:p>
    <w:p w14:paraId="71AF2992" w14:textId="77777777" w:rsidR="000972FD" w:rsidRPr="000972FD" w:rsidRDefault="000972FD" w:rsidP="000972FD">
      <w:p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AIPE requests the definition to explicitly cover:</w:t>
      </w:r>
    </w:p>
    <w:p w14:paraId="67DAADAA" w14:textId="77777777" w:rsidR="000972FD" w:rsidRPr="000972FD" w:rsidRDefault="000972FD" w:rsidP="000972FD">
      <w:pPr>
        <w:numPr>
          <w:ilvl w:val="0"/>
          <w:numId w:val="5"/>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 xml:space="preserve">Whether </w:t>
      </w:r>
      <w:r w:rsidRPr="000972FD">
        <w:rPr>
          <w:rFonts w:ascii="Times New Roman" w:eastAsia="Times New Roman" w:hAnsi="Times New Roman" w:cs="Times New Roman"/>
          <w:b/>
          <w:bCs/>
          <w:kern w:val="0"/>
          <w:lang w:eastAsia="en-GB"/>
          <w14:ligatures w14:val="none"/>
        </w:rPr>
        <w:t>current account</w:t>
      </w:r>
      <w:r w:rsidRPr="000972FD">
        <w:rPr>
          <w:rFonts w:ascii="Times New Roman" w:eastAsia="Times New Roman" w:hAnsi="Times New Roman" w:cs="Times New Roman"/>
          <w:kern w:val="0"/>
          <w:lang w:eastAsia="en-GB"/>
          <w14:ligatures w14:val="none"/>
        </w:rPr>
        <w:t xml:space="preserve"> or </w:t>
      </w:r>
      <w:r w:rsidRPr="000972FD">
        <w:rPr>
          <w:rFonts w:ascii="Times New Roman" w:eastAsia="Times New Roman" w:hAnsi="Times New Roman" w:cs="Times New Roman"/>
          <w:b/>
          <w:bCs/>
          <w:kern w:val="0"/>
          <w:lang w:eastAsia="en-GB"/>
          <w14:ligatures w14:val="none"/>
        </w:rPr>
        <w:t>loan account</w:t>
      </w:r>
      <w:r w:rsidRPr="000972FD">
        <w:rPr>
          <w:rFonts w:ascii="Times New Roman" w:eastAsia="Times New Roman" w:hAnsi="Times New Roman" w:cs="Times New Roman"/>
          <w:kern w:val="0"/>
          <w:lang w:eastAsia="en-GB"/>
          <w14:ligatures w14:val="none"/>
        </w:rPr>
        <w:t xml:space="preserve"> contributions qualify;</w:t>
      </w:r>
    </w:p>
    <w:p w14:paraId="4B4534B0" w14:textId="77777777" w:rsidR="000972FD" w:rsidRPr="000972FD" w:rsidRDefault="000972FD" w:rsidP="000972FD">
      <w:pPr>
        <w:numPr>
          <w:ilvl w:val="0"/>
          <w:numId w:val="5"/>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How working capital infusions are treated;</w:t>
      </w:r>
    </w:p>
    <w:p w14:paraId="39032D4A" w14:textId="77777777" w:rsidR="000972FD" w:rsidRPr="000972FD" w:rsidRDefault="000972FD" w:rsidP="000972FD">
      <w:pPr>
        <w:numPr>
          <w:ilvl w:val="0"/>
          <w:numId w:val="5"/>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Whether capital may be increased through services rendered.</w:t>
      </w:r>
    </w:p>
    <w:p w14:paraId="49ED3232" w14:textId="77777777" w:rsidR="000972FD" w:rsidRPr="000972FD" w:rsidRDefault="000972FD" w:rsidP="000972FD">
      <w:p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(Concern raised repeatedly at Roundtable. )</w:t>
      </w:r>
    </w:p>
    <w:p w14:paraId="6C3A2275" w14:textId="77777777" w:rsidR="000972FD" w:rsidRPr="000972FD" w:rsidRDefault="000972FD" w:rsidP="000972FD">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0972FD">
        <w:rPr>
          <w:rFonts w:ascii="Times New Roman" w:eastAsia="Times New Roman" w:hAnsi="Times New Roman" w:cs="Times New Roman"/>
          <w:b/>
          <w:bCs/>
          <w:kern w:val="0"/>
          <w:lang w:eastAsia="en-GB"/>
          <w14:ligatures w14:val="none"/>
        </w:rPr>
        <w:t>6. Provide a Transition Period of 12–18 Months</w:t>
      </w:r>
    </w:p>
    <w:p w14:paraId="0D48D48C" w14:textId="77777777" w:rsidR="000972FD" w:rsidRPr="000972FD" w:rsidRDefault="000972FD" w:rsidP="000972FD">
      <w:p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Considering ongoing CIRP and Liquidation assignments, IPEs will require time for:</w:t>
      </w:r>
    </w:p>
    <w:p w14:paraId="3E0EC3DE" w14:textId="77777777" w:rsidR="000972FD" w:rsidRPr="000972FD" w:rsidRDefault="000972FD" w:rsidP="000972FD">
      <w:pPr>
        <w:numPr>
          <w:ilvl w:val="0"/>
          <w:numId w:val="6"/>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Valuation exercise;</w:t>
      </w:r>
    </w:p>
    <w:p w14:paraId="577D00A7" w14:textId="77777777" w:rsidR="000972FD" w:rsidRPr="000972FD" w:rsidRDefault="000972FD" w:rsidP="000972FD">
      <w:pPr>
        <w:numPr>
          <w:ilvl w:val="0"/>
          <w:numId w:val="6"/>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Capital restructuring;</w:t>
      </w:r>
    </w:p>
    <w:p w14:paraId="718EDACF" w14:textId="77777777" w:rsidR="000972FD" w:rsidRPr="000972FD" w:rsidRDefault="000972FD" w:rsidP="000972FD">
      <w:pPr>
        <w:numPr>
          <w:ilvl w:val="0"/>
          <w:numId w:val="6"/>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Drafting governance agreements.</w:t>
      </w:r>
    </w:p>
    <w:p w14:paraId="413F3CA9" w14:textId="77777777" w:rsidR="000972FD" w:rsidRDefault="000972FD" w:rsidP="000972FD">
      <w:pPr>
        <w:spacing w:before="100" w:beforeAutospacing="1" w:after="100" w:afterAutospacing="1" w:line="240" w:lineRule="auto"/>
        <w:outlineLvl w:val="2"/>
        <w:rPr>
          <w:rFonts w:ascii="Times New Roman" w:eastAsia="Times New Roman" w:hAnsi="Times New Roman" w:cs="Times New Roman"/>
          <w:kern w:val="0"/>
          <w:lang w:eastAsia="en-GB"/>
          <w14:ligatures w14:val="none"/>
        </w:rPr>
      </w:pPr>
    </w:p>
    <w:p w14:paraId="48D95D41" w14:textId="3DA6C0CD" w:rsidR="000972FD" w:rsidRPr="000972FD" w:rsidRDefault="000972FD" w:rsidP="000972FD">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0972FD">
        <w:rPr>
          <w:rFonts w:ascii="Times New Roman" w:eastAsia="Times New Roman" w:hAnsi="Times New Roman" w:cs="Times New Roman"/>
          <w:b/>
          <w:bCs/>
          <w:kern w:val="0"/>
          <w:lang w:eastAsia="en-GB"/>
          <w14:ligatures w14:val="none"/>
        </w:rPr>
        <w:lastRenderedPageBreak/>
        <w:t>7. Prevent Concentration of Ownership</w:t>
      </w:r>
    </w:p>
    <w:p w14:paraId="55DB5EBA" w14:textId="77777777" w:rsidR="000972FD" w:rsidRPr="000972FD" w:rsidRDefault="000972FD" w:rsidP="000972FD">
      <w:p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AIPE suggests considering a cap, such as:</w:t>
      </w:r>
    </w:p>
    <w:p w14:paraId="5BCDF6C9" w14:textId="77777777" w:rsidR="000972FD" w:rsidRPr="000972FD" w:rsidRDefault="000972FD" w:rsidP="000972FD">
      <w:p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 xml:space="preserve">No single partner should hold </w:t>
      </w:r>
      <w:r w:rsidRPr="000972FD">
        <w:rPr>
          <w:rFonts w:ascii="Times New Roman" w:eastAsia="Times New Roman" w:hAnsi="Times New Roman" w:cs="Times New Roman"/>
          <w:b/>
          <w:bCs/>
          <w:kern w:val="0"/>
          <w:lang w:eastAsia="en-GB"/>
          <w14:ligatures w14:val="none"/>
        </w:rPr>
        <w:t>more than 25–30%</w:t>
      </w:r>
      <w:r w:rsidRPr="000972FD">
        <w:rPr>
          <w:rFonts w:ascii="Times New Roman" w:eastAsia="Times New Roman" w:hAnsi="Times New Roman" w:cs="Times New Roman"/>
          <w:kern w:val="0"/>
          <w:lang w:eastAsia="en-GB"/>
          <w14:ligatures w14:val="none"/>
        </w:rPr>
        <w:t xml:space="preserve"> without IBBI approval.</w:t>
      </w:r>
    </w:p>
    <w:p w14:paraId="07816878" w14:textId="71A50E29" w:rsidR="000972FD" w:rsidRPr="000972FD" w:rsidRDefault="000972FD" w:rsidP="000972FD">
      <w:p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 xml:space="preserve">This aligns with the objective of diversified ownership. </w:t>
      </w:r>
    </w:p>
    <w:p w14:paraId="0C495FEB" w14:textId="77777777" w:rsidR="000972FD" w:rsidRPr="000972FD" w:rsidRDefault="000972FD" w:rsidP="000972FD">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0972FD">
        <w:rPr>
          <w:rFonts w:ascii="Times New Roman" w:eastAsia="Times New Roman" w:hAnsi="Times New Roman" w:cs="Times New Roman"/>
          <w:b/>
          <w:bCs/>
          <w:kern w:val="0"/>
          <w:lang w:eastAsia="en-GB"/>
          <w14:ligatures w14:val="none"/>
        </w:rPr>
        <w:t>8. Recognise the Nature of Professional Service Firms</w:t>
      </w:r>
    </w:p>
    <w:p w14:paraId="75F16D8B" w14:textId="4ED8D231" w:rsidR="000972FD" w:rsidRPr="000972FD" w:rsidRDefault="000972FD" w:rsidP="000972FD">
      <w:pPr>
        <w:spacing w:before="100" w:beforeAutospacing="1" w:after="100" w:afterAutospacing="1" w:line="240" w:lineRule="auto"/>
        <w:jc w:val="both"/>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 xml:space="preserve">IPEs are not commercial businesses; they are </w:t>
      </w:r>
      <w:r w:rsidRPr="000972FD">
        <w:rPr>
          <w:rFonts w:ascii="Times New Roman" w:eastAsia="Times New Roman" w:hAnsi="Times New Roman" w:cs="Times New Roman"/>
          <w:b/>
          <w:bCs/>
          <w:kern w:val="0"/>
          <w:lang w:eastAsia="en-GB"/>
          <w14:ligatures w14:val="none"/>
        </w:rPr>
        <w:t>fiduciary professional bodies</w:t>
      </w:r>
      <w:r w:rsidRPr="000972FD">
        <w:rPr>
          <w:rFonts w:ascii="Times New Roman" w:eastAsia="Times New Roman" w:hAnsi="Times New Roman" w:cs="Times New Roman"/>
          <w:kern w:val="0"/>
          <w:lang w:eastAsia="en-GB"/>
          <w14:ligatures w14:val="none"/>
        </w:rPr>
        <w:t>.</w:t>
      </w:r>
      <w:r>
        <w:rPr>
          <w:rFonts w:ascii="Times New Roman" w:eastAsia="Times New Roman" w:hAnsi="Times New Roman" w:cs="Times New Roman"/>
          <w:kern w:val="0"/>
          <w:lang w:eastAsia="en-GB"/>
          <w14:ligatures w14:val="none"/>
        </w:rPr>
        <w:t xml:space="preserve"> </w:t>
      </w:r>
      <w:r w:rsidRPr="000972FD">
        <w:rPr>
          <w:rFonts w:ascii="Times New Roman" w:eastAsia="Times New Roman" w:hAnsi="Times New Roman" w:cs="Times New Roman"/>
          <w:kern w:val="0"/>
          <w:lang w:eastAsia="en-GB"/>
          <w14:ligatures w14:val="none"/>
        </w:rPr>
        <w:t>Thus, regulations must encourage:</w:t>
      </w:r>
    </w:p>
    <w:p w14:paraId="4A047005" w14:textId="77777777" w:rsidR="000972FD" w:rsidRPr="000972FD" w:rsidRDefault="000972FD" w:rsidP="000972FD">
      <w:pPr>
        <w:numPr>
          <w:ilvl w:val="0"/>
          <w:numId w:val="8"/>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Performance-linked participation,</w:t>
      </w:r>
    </w:p>
    <w:p w14:paraId="274A59B1" w14:textId="77777777" w:rsidR="000972FD" w:rsidRPr="000972FD" w:rsidRDefault="000972FD" w:rsidP="000972FD">
      <w:pPr>
        <w:numPr>
          <w:ilvl w:val="0"/>
          <w:numId w:val="8"/>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Collaborative governance,</w:t>
      </w:r>
    </w:p>
    <w:p w14:paraId="6A5FA806" w14:textId="77777777" w:rsidR="000972FD" w:rsidRPr="000972FD" w:rsidRDefault="000972FD" w:rsidP="000972FD">
      <w:pPr>
        <w:numPr>
          <w:ilvl w:val="0"/>
          <w:numId w:val="8"/>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Ethics and compliance,</w:t>
      </w:r>
      <w:r w:rsidRPr="000972FD">
        <w:rPr>
          <w:rFonts w:ascii="Times New Roman" w:eastAsia="Times New Roman" w:hAnsi="Times New Roman" w:cs="Times New Roman"/>
          <w:kern w:val="0"/>
          <w:lang w:eastAsia="en-GB"/>
          <w14:ligatures w14:val="none"/>
        </w:rPr>
        <w:br/>
        <w:t>and not merely financial contribution.</w:t>
      </w:r>
    </w:p>
    <w:p w14:paraId="7B6EF745" w14:textId="77777777" w:rsidR="000972FD" w:rsidRPr="000972FD" w:rsidRDefault="000972FD" w:rsidP="000972FD">
      <w:pPr>
        <w:spacing w:before="100" w:beforeAutospacing="1" w:after="100" w:afterAutospacing="1" w:line="240" w:lineRule="auto"/>
        <w:outlineLvl w:val="1"/>
        <w:rPr>
          <w:rFonts w:ascii="Times New Roman" w:eastAsia="Times New Roman" w:hAnsi="Times New Roman" w:cs="Times New Roman"/>
          <w:b/>
          <w:bCs/>
          <w:kern w:val="0"/>
          <w:lang w:eastAsia="en-GB"/>
          <w14:ligatures w14:val="none"/>
        </w:rPr>
      </w:pPr>
      <w:r w:rsidRPr="000972FD">
        <w:rPr>
          <w:rFonts w:ascii="Times New Roman" w:eastAsia="Times New Roman" w:hAnsi="Times New Roman" w:cs="Times New Roman"/>
          <w:b/>
          <w:bCs/>
          <w:kern w:val="0"/>
          <w:lang w:eastAsia="en-GB"/>
          <w14:ligatures w14:val="none"/>
        </w:rPr>
        <w:t>IV. Conclusion</w:t>
      </w:r>
    </w:p>
    <w:p w14:paraId="6B1111D1" w14:textId="77777777" w:rsidR="000972FD" w:rsidRPr="000972FD" w:rsidRDefault="000972FD" w:rsidP="000972FD">
      <w:p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AIPE reiterates its strong support for IBBI’s objective of strengthening the governance and accountability of IPEs. The Discussion Paper raises legitimate concerns that must be addressed to protect public trust and the integrity of the insolvency profession.</w:t>
      </w:r>
    </w:p>
    <w:p w14:paraId="08E57398" w14:textId="77777777" w:rsidR="000972FD" w:rsidRPr="000972FD" w:rsidRDefault="000972FD" w:rsidP="000972FD">
      <w:p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 xml:space="preserve">However, </w:t>
      </w:r>
      <w:r w:rsidRPr="000972FD">
        <w:rPr>
          <w:rFonts w:ascii="Times New Roman" w:eastAsia="Times New Roman" w:hAnsi="Times New Roman" w:cs="Times New Roman"/>
          <w:b/>
          <w:bCs/>
          <w:kern w:val="0"/>
          <w:lang w:eastAsia="en-GB"/>
          <w14:ligatures w14:val="none"/>
        </w:rPr>
        <w:t>a flat 5% contribution requirement—even with a pro-rata adjustment—is insufficient and may create new challenges unless paired with a comprehensive governance framework and flexible, scalable capital norms</w:t>
      </w:r>
      <w:r w:rsidRPr="000972FD">
        <w:rPr>
          <w:rFonts w:ascii="Times New Roman" w:eastAsia="Times New Roman" w:hAnsi="Times New Roman" w:cs="Times New Roman"/>
          <w:kern w:val="0"/>
          <w:lang w:eastAsia="en-GB"/>
          <w14:ligatures w14:val="none"/>
        </w:rPr>
        <w:t>.</w:t>
      </w:r>
    </w:p>
    <w:p w14:paraId="65903AA6" w14:textId="77777777" w:rsidR="000972FD" w:rsidRPr="000972FD" w:rsidRDefault="000972FD" w:rsidP="000972FD">
      <w:p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The recommendations in this submission are drafted after rigorous discussion among industry practitioners and reflect practical, implementable solutions that will:</w:t>
      </w:r>
    </w:p>
    <w:p w14:paraId="6926E77E" w14:textId="77777777" w:rsidR="000972FD" w:rsidRPr="000972FD" w:rsidRDefault="000972FD" w:rsidP="000972FD">
      <w:pPr>
        <w:numPr>
          <w:ilvl w:val="0"/>
          <w:numId w:val="9"/>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reduce misuse of nominal partners,</w:t>
      </w:r>
    </w:p>
    <w:p w14:paraId="148BA9EA" w14:textId="77777777" w:rsidR="000972FD" w:rsidRPr="000972FD" w:rsidRDefault="000972FD" w:rsidP="000972FD">
      <w:pPr>
        <w:numPr>
          <w:ilvl w:val="0"/>
          <w:numId w:val="9"/>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enhance professional participation,</w:t>
      </w:r>
    </w:p>
    <w:p w14:paraId="4D022104" w14:textId="77777777" w:rsidR="000972FD" w:rsidRPr="000972FD" w:rsidRDefault="000972FD" w:rsidP="000972FD">
      <w:pPr>
        <w:numPr>
          <w:ilvl w:val="0"/>
          <w:numId w:val="9"/>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improve transparency and independence,</w:t>
      </w:r>
    </w:p>
    <w:p w14:paraId="65B97A55" w14:textId="77777777" w:rsidR="000972FD" w:rsidRPr="000972FD" w:rsidRDefault="000972FD" w:rsidP="000972FD">
      <w:pPr>
        <w:numPr>
          <w:ilvl w:val="0"/>
          <w:numId w:val="9"/>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retain accessibility for new IPs, and</w:t>
      </w:r>
    </w:p>
    <w:p w14:paraId="1796ED97" w14:textId="77777777" w:rsidR="000972FD" w:rsidRPr="000972FD" w:rsidRDefault="000972FD" w:rsidP="000972FD">
      <w:pPr>
        <w:numPr>
          <w:ilvl w:val="0"/>
          <w:numId w:val="9"/>
        </w:num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align IPE governance with global best practices.</w:t>
      </w:r>
    </w:p>
    <w:p w14:paraId="1425841D" w14:textId="77777777" w:rsidR="000972FD" w:rsidRPr="000972FD" w:rsidRDefault="000972FD" w:rsidP="000972FD">
      <w:pPr>
        <w:spacing w:before="100" w:beforeAutospacing="1" w:after="100" w:afterAutospacing="1"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kern w:val="0"/>
          <w:lang w:eastAsia="en-GB"/>
          <w14:ligatures w14:val="none"/>
        </w:rPr>
        <w:t>AIPE would be honoured to engage further with IBBI and assist in drafting a model governance code or providing additional industry data.</w:t>
      </w:r>
    </w:p>
    <w:p w14:paraId="7E4A003B" w14:textId="77777777" w:rsidR="000972FD" w:rsidRPr="000972FD" w:rsidRDefault="000972FD" w:rsidP="000972FD">
      <w:pPr>
        <w:spacing w:after="0" w:line="240" w:lineRule="auto"/>
        <w:rPr>
          <w:rFonts w:ascii="Times New Roman" w:eastAsia="Times New Roman" w:hAnsi="Times New Roman" w:cs="Times New Roman"/>
          <w:kern w:val="0"/>
          <w:lang w:eastAsia="en-GB"/>
          <w14:ligatures w14:val="none"/>
        </w:rPr>
      </w:pPr>
      <w:r w:rsidRPr="000972FD">
        <w:rPr>
          <w:rFonts w:ascii="Times New Roman" w:eastAsia="Times New Roman" w:hAnsi="Times New Roman" w:cs="Times New Roman"/>
          <w:noProof/>
          <w:kern w:val="0"/>
          <w:lang w:eastAsia="en-GB"/>
          <w14:ligatures w14:val="none"/>
        </w:rPr>
      </w:r>
      <w:r w:rsidR="000972FD" w:rsidRPr="000972FD">
        <w:rPr>
          <w:rFonts w:ascii="Times New Roman" w:eastAsia="Times New Roman" w:hAnsi="Times New Roman" w:cs="Times New Roman"/>
          <w:noProof/>
          <w:kern w:val="0"/>
          <w:lang w:eastAsia="en-GB"/>
          <w14:ligatures w14:val="none"/>
        </w:rPr>
        <w:pict w14:anchorId="1C18109E">
          <v:rect id="_x0000_i1043" alt="" style="width:451.3pt;height:.05pt;mso-width-percent:0;mso-height-percent:0;mso-width-percent:0;mso-height-percent:0" o:hralign="center" o:hrstd="t" o:hr="t" fillcolor="#a0a0a0" stroked="f"/>
        </w:pict>
      </w:r>
    </w:p>
    <w:p w14:paraId="6C448378" w14:textId="77777777" w:rsidR="000972FD" w:rsidRDefault="000972FD"/>
    <w:sectPr w:rsidR="000972F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C75630"/>
    <w:multiLevelType w:val="multilevel"/>
    <w:tmpl w:val="9328D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671666"/>
    <w:multiLevelType w:val="multilevel"/>
    <w:tmpl w:val="D3B66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806385"/>
    <w:multiLevelType w:val="multilevel"/>
    <w:tmpl w:val="55A05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D754B48"/>
    <w:multiLevelType w:val="multilevel"/>
    <w:tmpl w:val="A1524A2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E6F1157"/>
    <w:multiLevelType w:val="multilevel"/>
    <w:tmpl w:val="B4721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0AF7085"/>
    <w:multiLevelType w:val="multilevel"/>
    <w:tmpl w:val="D59E8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73A7683"/>
    <w:multiLevelType w:val="multilevel"/>
    <w:tmpl w:val="A1F83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7AF6D36"/>
    <w:multiLevelType w:val="multilevel"/>
    <w:tmpl w:val="F410B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D11360D"/>
    <w:multiLevelType w:val="multilevel"/>
    <w:tmpl w:val="A6DE2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55212821">
    <w:abstractNumId w:val="2"/>
  </w:num>
  <w:num w:numId="2" w16cid:durableId="949318787">
    <w:abstractNumId w:val="6"/>
  </w:num>
  <w:num w:numId="3" w16cid:durableId="679040739">
    <w:abstractNumId w:val="3"/>
  </w:num>
  <w:num w:numId="4" w16cid:durableId="1242327753">
    <w:abstractNumId w:val="0"/>
  </w:num>
  <w:num w:numId="5" w16cid:durableId="1482113462">
    <w:abstractNumId w:val="5"/>
  </w:num>
  <w:num w:numId="6" w16cid:durableId="459693151">
    <w:abstractNumId w:val="1"/>
  </w:num>
  <w:num w:numId="7" w16cid:durableId="612900791">
    <w:abstractNumId w:val="8"/>
  </w:num>
  <w:num w:numId="8" w16cid:durableId="908343748">
    <w:abstractNumId w:val="7"/>
  </w:num>
  <w:num w:numId="9" w16cid:durableId="71141702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72FD"/>
    <w:rsid w:val="000972FD"/>
    <w:rsid w:val="0041600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3B041D"/>
  <w15:chartTrackingRefBased/>
  <w15:docId w15:val="{79F3F746-AB9C-6648-9C40-373E08A47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72F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0972F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0972F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0972F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972F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972F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72F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72F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72F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72F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0972F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0972F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0972F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972F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972F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72F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72F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72FD"/>
    <w:rPr>
      <w:rFonts w:eastAsiaTheme="majorEastAsia" w:cstheme="majorBidi"/>
      <w:color w:val="272727" w:themeColor="text1" w:themeTint="D8"/>
    </w:rPr>
  </w:style>
  <w:style w:type="paragraph" w:styleId="Title">
    <w:name w:val="Title"/>
    <w:basedOn w:val="Normal"/>
    <w:next w:val="Normal"/>
    <w:link w:val="TitleChar"/>
    <w:uiPriority w:val="10"/>
    <w:qFormat/>
    <w:rsid w:val="000972F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72F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72F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72F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72FD"/>
    <w:pPr>
      <w:spacing w:before="160"/>
      <w:jc w:val="center"/>
    </w:pPr>
    <w:rPr>
      <w:i/>
      <w:iCs/>
      <w:color w:val="404040" w:themeColor="text1" w:themeTint="BF"/>
    </w:rPr>
  </w:style>
  <w:style w:type="character" w:customStyle="1" w:styleId="QuoteChar">
    <w:name w:val="Quote Char"/>
    <w:basedOn w:val="DefaultParagraphFont"/>
    <w:link w:val="Quote"/>
    <w:uiPriority w:val="29"/>
    <w:rsid w:val="000972FD"/>
    <w:rPr>
      <w:i/>
      <w:iCs/>
      <w:color w:val="404040" w:themeColor="text1" w:themeTint="BF"/>
    </w:rPr>
  </w:style>
  <w:style w:type="paragraph" w:styleId="ListParagraph">
    <w:name w:val="List Paragraph"/>
    <w:basedOn w:val="Normal"/>
    <w:uiPriority w:val="34"/>
    <w:qFormat/>
    <w:rsid w:val="000972FD"/>
    <w:pPr>
      <w:ind w:left="720"/>
      <w:contextualSpacing/>
    </w:pPr>
  </w:style>
  <w:style w:type="character" w:styleId="IntenseEmphasis">
    <w:name w:val="Intense Emphasis"/>
    <w:basedOn w:val="DefaultParagraphFont"/>
    <w:uiPriority w:val="21"/>
    <w:qFormat/>
    <w:rsid w:val="000972FD"/>
    <w:rPr>
      <w:i/>
      <w:iCs/>
      <w:color w:val="0F4761" w:themeColor="accent1" w:themeShade="BF"/>
    </w:rPr>
  </w:style>
  <w:style w:type="paragraph" w:styleId="IntenseQuote">
    <w:name w:val="Intense Quote"/>
    <w:basedOn w:val="Normal"/>
    <w:next w:val="Normal"/>
    <w:link w:val="IntenseQuoteChar"/>
    <w:uiPriority w:val="30"/>
    <w:qFormat/>
    <w:rsid w:val="000972F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972FD"/>
    <w:rPr>
      <w:i/>
      <w:iCs/>
      <w:color w:val="0F4761" w:themeColor="accent1" w:themeShade="BF"/>
    </w:rPr>
  </w:style>
  <w:style w:type="character" w:styleId="IntenseReference">
    <w:name w:val="Intense Reference"/>
    <w:basedOn w:val="DefaultParagraphFont"/>
    <w:uiPriority w:val="32"/>
    <w:qFormat/>
    <w:rsid w:val="000972FD"/>
    <w:rPr>
      <w:b/>
      <w:bCs/>
      <w:smallCaps/>
      <w:color w:val="0F4761" w:themeColor="accent1" w:themeShade="BF"/>
      <w:spacing w:val="5"/>
    </w:rPr>
  </w:style>
  <w:style w:type="paragraph" w:styleId="NormalWeb">
    <w:name w:val="Normal (Web)"/>
    <w:basedOn w:val="Normal"/>
    <w:uiPriority w:val="99"/>
    <w:semiHidden/>
    <w:unhideWhenUsed/>
    <w:rsid w:val="000972FD"/>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0972FD"/>
    <w:rPr>
      <w:b/>
      <w:bCs/>
    </w:rPr>
  </w:style>
  <w:style w:type="character" w:styleId="Emphasis">
    <w:name w:val="Emphasis"/>
    <w:basedOn w:val="DefaultParagraphFont"/>
    <w:uiPriority w:val="20"/>
    <w:qFormat/>
    <w:rsid w:val="000972F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14</TotalTime>
  <Pages>5</Pages>
  <Words>1288</Words>
  <Characters>7345</Characters>
  <Application>Microsoft Office Word</Application>
  <DocSecurity>0</DocSecurity>
  <Lines>61</Lines>
  <Paragraphs>17</Paragraphs>
  <ScaleCrop>false</ScaleCrop>
  <Company/>
  <LinksUpToDate>false</LinksUpToDate>
  <CharactersWithSpaces>8616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SANJEEV PANDEY</dc:creator>
  <cp:keywords/>
  <dc:description/>
  <cp:lastModifiedBy>SANJEEV PANDEY</cp:lastModifiedBy>
  <cp:revision>1</cp:revision>
  <dcterms:created xsi:type="dcterms:W3CDTF">2025-12-06T08:05:00Z</dcterms:created>
  <dcterms:modified xsi:type="dcterms:W3CDTF">2025-12-06T08:19:00Z</dcterms:modified>
</cp:coreProperties>
</file>